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ED864" w14:textId="1117BA50" w:rsidR="00873AB2" w:rsidRPr="00873AB2" w:rsidRDefault="00873AB2" w:rsidP="00873AB2">
      <w:pPr>
        <w:pStyle w:val="Heading1"/>
        <w:rPr>
          <w:b/>
          <w:sz w:val="48"/>
        </w:rPr>
      </w:pPr>
      <w:r w:rsidRPr="00873AB2">
        <w:rPr>
          <w:b/>
          <w:sz w:val="48"/>
        </w:rPr>
        <w:t>Supplementary information for</w:t>
      </w:r>
    </w:p>
    <w:p w14:paraId="04B6A2DF" w14:textId="77777777" w:rsidR="00873AB2" w:rsidRDefault="00873AB2" w:rsidP="00E91FAE">
      <w:pPr>
        <w:pStyle w:val="Title"/>
        <w:rPr>
          <w:lang w:val="en-GB" w:eastAsia="nl-NL"/>
        </w:rPr>
      </w:pPr>
    </w:p>
    <w:p w14:paraId="0FB42A73" w14:textId="49134E7B" w:rsidR="00E91FAE" w:rsidRPr="00E92612" w:rsidRDefault="00E91FAE" w:rsidP="00E91FAE">
      <w:pPr>
        <w:pStyle w:val="Title"/>
        <w:rPr>
          <w:lang w:val="en-GB"/>
        </w:rPr>
      </w:pPr>
      <w:r w:rsidRPr="00114F23">
        <w:rPr>
          <w:lang w:val="en-GB" w:eastAsia="nl-NL"/>
        </w:rPr>
        <w:t xml:space="preserve">Modular, synthetic chromosomes as new tools for </w:t>
      </w:r>
      <w:r>
        <w:rPr>
          <w:lang w:val="en-GB" w:eastAsia="nl-NL"/>
        </w:rPr>
        <w:t>large scale engineering</w:t>
      </w:r>
      <w:r>
        <w:rPr>
          <w:lang w:val="en-GB"/>
        </w:rPr>
        <w:t xml:space="preserve"> </w:t>
      </w:r>
      <w:r w:rsidRPr="00E92612">
        <w:rPr>
          <w:lang w:val="en-GB"/>
        </w:rPr>
        <w:t>of metabolism</w:t>
      </w:r>
    </w:p>
    <w:p w14:paraId="05145D6B" w14:textId="77777777" w:rsidR="00E91FAE" w:rsidRPr="00873AB2" w:rsidRDefault="00E91FAE" w:rsidP="00A95323">
      <w:pPr>
        <w:rPr>
          <w:lang w:val="en-GB"/>
        </w:rPr>
      </w:pPr>
    </w:p>
    <w:p w14:paraId="1A1AD3FC" w14:textId="710E920F" w:rsidR="00B44DD2" w:rsidRPr="00C17696" w:rsidRDefault="00B44DD2" w:rsidP="00A95323">
      <w:pPr>
        <w:spacing w:after="0" w:line="360" w:lineRule="auto"/>
        <w:rPr>
          <w:rFonts w:cstheme="minorHAnsi"/>
          <w:sz w:val="28"/>
          <w:lang w:val="nl-NL"/>
        </w:rPr>
      </w:pPr>
      <w:r w:rsidRPr="009F72DE">
        <w:rPr>
          <w:rFonts w:cstheme="minorHAnsi"/>
          <w:sz w:val="28"/>
          <w:lang w:val="nl-NL"/>
        </w:rPr>
        <w:t>Else-Jasmijn Hassing</w:t>
      </w:r>
      <w:r w:rsidR="00C17696">
        <w:rPr>
          <w:rFonts w:cstheme="minorHAnsi"/>
          <w:sz w:val="28"/>
          <w:vertAlign w:val="superscript"/>
          <w:lang w:val="nl-NL"/>
        </w:rPr>
        <w:t xml:space="preserve"> </w:t>
      </w:r>
      <w:r w:rsidR="00C17696" w:rsidRPr="00C17696">
        <w:rPr>
          <w:rFonts w:cstheme="minorHAnsi"/>
          <w:sz w:val="28"/>
          <w:lang w:val="nl-NL"/>
        </w:rPr>
        <w:t>et al.</w:t>
      </w:r>
    </w:p>
    <w:p w14:paraId="12433AB9" w14:textId="77777777" w:rsidR="00B44DD2" w:rsidRPr="00C17696" w:rsidRDefault="00B44DD2" w:rsidP="00A95323">
      <w:pPr>
        <w:spacing w:after="0" w:line="360" w:lineRule="auto"/>
        <w:rPr>
          <w:rFonts w:cstheme="minorHAnsi"/>
          <w:sz w:val="28"/>
          <w:lang w:val="nl-NL"/>
        </w:rPr>
      </w:pPr>
    </w:p>
    <w:p w14:paraId="38308C52" w14:textId="77777777" w:rsidR="00B44DD2" w:rsidRPr="00A95323" w:rsidRDefault="00B44DD2" w:rsidP="00A95323">
      <w:pPr>
        <w:spacing w:after="0" w:line="360" w:lineRule="auto"/>
        <w:rPr>
          <w:rFonts w:cstheme="minorHAnsi"/>
          <w:sz w:val="28"/>
          <w:lang w:val="en-GB"/>
        </w:rPr>
      </w:pPr>
      <w:r w:rsidRPr="00A95323">
        <w:rPr>
          <w:rFonts w:cstheme="minorHAnsi"/>
          <w:sz w:val="28"/>
          <w:vertAlign w:val="superscript"/>
          <w:lang w:val="en-GB"/>
        </w:rPr>
        <w:t>1</w:t>
      </w:r>
      <w:r w:rsidRPr="00A95323">
        <w:rPr>
          <w:rFonts w:cstheme="minorHAnsi"/>
          <w:sz w:val="28"/>
          <w:lang w:val="en-GB"/>
        </w:rPr>
        <w:t xml:space="preserve"> Department of Biotechnology, Delft University of Technology, van der Maasweg 9, 2627HZ Delft, The Netherlands</w:t>
      </w:r>
    </w:p>
    <w:p w14:paraId="7D6BE974" w14:textId="77777777" w:rsidR="00E91FAE" w:rsidRPr="00E91FAE" w:rsidRDefault="00E91FAE" w:rsidP="00E91FAE">
      <w:pPr>
        <w:rPr>
          <w:sz w:val="28"/>
        </w:rPr>
      </w:pPr>
    </w:p>
    <w:p w14:paraId="332B2FC4" w14:textId="77777777" w:rsidR="007828EE" w:rsidRDefault="007828EE" w:rsidP="007828EE"/>
    <w:p w14:paraId="06BB3E83" w14:textId="77777777" w:rsidR="009A68FC" w:rsidRDefault="009A68FC" w:rsidP="009A68FC">
      <w:pPr>
        <w:spacing w:after="0" w:line="360" w:lineRule="auto"/>
        <w:jc w:val="both"/>
      </w:pPr>
      <w:r w:rsidRPr="00FD4938">
        <w:t xml:space="preserve">The construction of powerful cell factories requires intensive genetic engineering for the addition of new functionalities and the remodeling of native pathways and processes. The present study, using </w:t>
      </w:r>
      <w:r w:rsidRPr="00FD4938">
        <w:rPr>
          <w:i/>
        </w:rPr>
        <w:t>Saccharomyces cerevisiae</w:t>
      </w:r>
      <w:r w:rsidRPr="00FD4938">
        <w:t xml:space="preserve">, explores the potential of modular, specialized </w:t>
      </w:r>
      <w:r w:rsidRPr="00FD4938">
        <w:rPr>
          <w:i/>
        </w:rPr>
        <w:t>de novo</w:t>
      </w:r>
      <w:r w:rsidRPr="00FD4938">
        <w:t xml:space="preserve">-assembled neochromosomes (named NeoChrs) to facilitate extensive genome reprogramming. Linear and circular NeoChrs carrying 20 native and 21 heterologous genes were designed and constructed by </w:t>
      </w:r>
      <w:r w:rsidRPr="00FD4938">
        <w:rPr>
          <w:i/>
        </w:rPr>
        <w:t>in vivo</w:t>
      </w:r>
      <w:r w:rsidRPr="00FD4938">
        <w:t xml:space="preserve"> assembly in yeast in two transformation steps leading to </w:t>
      </w:r>
      <w:r w:rsidRPr="00FD4938">
        <w:rPr>
          <w:i/>
        </w:rPr>
        <w:t>de novo</w:t>
      </w:r>
      <w:r w:rsidRPr="00FD4938">
        <w:t xml:space="preserve"> production of anthocyanins, native to plants. Turned into exclusive expression platforms for heterologous and essential metabolic routes, the NeoChrs behaved like native chromosomes regarding mitotic and genetic stability, copy number, harmlessness for the host and editability by CRISPR/Cas9. This study paves the way for </w:t>
      </w:r>
      <w:r w:rsidRPr="00FD4938">
        <w:rPr>
          <w:color w:val="000000" w:themeColor="text1"/>
        </w:rPr>
        <w:t>future microbial cell factories with modular genomes in which core metabolic networks, localized on satellite, specialized NeoChrs can be swapped for alternative configurations and serve as landing pads for the addition of functionalities.</w:t>
      </w:r>
    </w:p>
    <w:p w14:paraId="4331062E" w14:textId="77777777" w:rsidR="003C4247" w:rsidRDefault="003C4247">
      <w:bookmarkStart w:id="0" w:name="_GoBack"/>
      <w:bookmarkEnd w:id="0"/>
    </w:p>
    <w:p w14:paraId="4D6AA383" w14:textId="77777777" w:rsidR="003C4247" w:rsidRDefault="003C4247">
      <w:r>
        <w:br w:type="page"/>
      </w:r>
    </w:p>
    <w:p w14:paraId="68540E69" w14:textId="79643748" w:rsidR="00FE7FAA" w:rsidRDefault="003D1549" w:rsidP="00567875">
      <w:pPr>
        <w:pStyle w:val="Heading2"/>
      </w:pPr>
      <w:r>
        <w:lastRenderedPageBreak/>
        <w:t xml:space="preserve">Supplementary </w:t>
      </w:r>
      <w:r w:rsidR="00FE7FAA">
        <w:t xml:space="preserve">Figure </w:t>
      </w:r>
      <w:fldSimple w:instr=" SEQ Figure \* ARABIC ">
        <w:r w:rsidR="00BF2676">
          <w:rPr>
            <w:noProof/>
          </w:rPr>
          <w:t>1</w:t>
        </w:r>
      </w:fldSimple>
      <w:r>
        <w:rPr>
          <w:noProof/>
        </w:rPr>
        <w:t xml:space="preserve"> - </w:t>
      </w:r>
      <w:r w:rsidR="00FE7FAA">
        <w:t xml:space="preserve">Reactions from glucose to </w:t>
      </w:r>
      <w:r w:rsidR="006D5160">
        <w:t>pelargonidin</w:t>
      </w:r>
      <w:r w:rsidR="0098108E">
        <w:t xml:space="preserve"> 3-O-glucoside</w:t>
      </w:r>
    </w:p>
    <w:p w14:paraId="3E2823D4" w14:textId="528D6164" w:rsidR="00D52538" w:rsidRPr="00C17696" w:rsidRDefault="00FE7FAA" w:rsidP="00D52538">
      <w:pPr>
        <w:jc w:val="both"/>
        <w:rPr>
          <w:rFonts w:cstheme="minorHAnsi"/>
        </w:rPr>
      </w:pPr>
      <w:r>
        <w:t xml:space="preserve">Yellow: glycolysis an ethanolic fermentation. Blue: pentose phosphate pathway. Brown: </w:t>
      </w:r>
      <w:r w:rsidRPr="00624A55">
        <w:rPr>
          <w:i/>
        </w:rPr>
        <w:t>E.</w:t>
      </w:r>
      <w:r w:rsidR="00235EEE">
        <w:rPr>
          <w:i/>
        </w:rPr>
        <w:t xml:space="preserve"> </w:t>
      </w:r>
      <w:r w:rsidRPr="00624A55">
        <w:rPr>
          <w:i/>
        </w:rPr>
        <w:t>coli</w:t>
      </w:r>
      <w:r>
        <w:t xml:space="preserve"> shikimate pathway. Green:</w:t>
      </w:r>
      <w:r w:rsidR="00447B3F">
        <w:t xml:space="preserve"> </w:t>
      </w:r>
      <w:r w:rsidR="009F72DE">
        <w:t>plant</w:t>
      </w:r>
      <w:r>
        <w:t xml:space="preserve"> anthocyanin pathway. </w:t>
      </w:r>
      <w:r w:rsidR="00924A6F">
        <w:t xml:space="preserve">The gene names encoding the enzymes involved in the indicated reactions are indicated in italics. Genes </w:t>
      </w:r>
      <w:r w:rsidR="009F72DE">
        <w:t>d</w:t>
      </w:r>
      <w:r>
        <w:t xml:space="preserve">eleted </w:t>
      </w:r>
      <w:r w:rsidR="00924A6F">
        <w:t xml:space="preserve">in the present study </w:t>
      </w:r>
      <w:r>
        <w:t xml:space="preserve">are </w:t>
      </w:r>
      <w:r w:rsidR="00924A6F">
        <w:t xml:space="preserve">indicated in </w:t>
      </w:r>
      <w:r>
        <w:t xml:space="preserve">red and underlined. </w:t>
      </w:r>
      <w:r w:rsidR="00235EEE">
        <w:rPr>
          <w:i/>
          <w:iCs/>
        </w:rPr>
        <w:t>Ec E. coli, At</w:t>
      </w:r>
      <w:r w:rsidR="00235EEE" w:rsidRPr="00235EEE">
        <w:rPr>
          <w:i/>
          <w:iCs/>
        </w:rPr>
        <w:t xml:space="preserve"> </w:t>
      </w:r>
      <w:r w:rsidR="00235EEE" w:rsidRPr="00235EEE">
        <w:rPr>
          <w:rFonts w:cstheme="minorHAnsi"/>
          <w:i/>
          <w:iCs/>
          <w:color w:val="202124"/>
          <w:shd w:val="clear" w:color="auto" w:fill="FFFFFF"/>
        </w:rPr>
        <w:t>Arabidopsis thaliana</w:t>
      </w:r>
      <w:r w:rsidR="00235EEE">
        <w:rPr>
          <w:i/>
          <w:iCs/>
        </w:rPr>
        <w:t xml:space="preserve">, Rc </w:t>
      </w:r>
      <w:r w:rsidR="00235EEE" w:rsidRPr="00235EEE">
        <w:rPr>
          <w:i/>
          <w:iCs/>
        </w:rPr>
        <w:t>Rhodobacter capsulatus</w:t>
      </w:r>
      <w:r w:rsidR="00235EEE">
        <w:rPr>
          <w:i/>
          <w:iCs/>
        </w:rPr>
        <w:t xml:space="preserve">, co </w:t>
      </w:r>
      <w:r w:rsidR="00235EEE" w:rsidRPr="00235EEE">
        <w:t>codon optimized.</w:t>
      </w:r>
      <w:r w:rsidR="00235EEE">
        <w:rPr>
          <w:i/>
          <w:iCs/>
        </w:rPr>
        <w:t xml:space="preserve"> </w:t>
      </w:r>
      <w:r w:rsidR="00D364C8">
        <w:rPr>
          <w:i/>
          <w:iCs/>
        </w:rPr>
        <w:t>fbr</w:t>
      </w:r>
      <w:r w:rsidR="00F071E5">
        <w:rPr>
          <w:iCs/>
        </w:rPr>
        <w:t xml:space="preserve"> feedback resistant, </w:t>
      </w:r>
      <w:r w:rsidR="00D52538">
        <w:rPr>
          <w:iCs/>
        </w:rPr>
        <w:t>Glc glucose, Glc-6P glucose 6-phosphate, Fru-6p fructose-6-phosphate, Fru-1,6-BP fructose 1,6-biphosphate, GAP glyceraldehyde 3-phosphate, DHAP dihydroxyacetone, 1,3-BPG 1,3-biphosphoglycerate, 3-PG 3-phosphoglycerate,2-PG 2-phosphoglycerate, PEP phosphoenolpyruvate, Pyr pyruvate, AcAL acetaldehyde, EtOH ethanol,</w:t>
      </w:r>
      <w:r w:rsidR="00A61236">
        <w:rPr>
          <w:iCs/>
        </w:rPr>
        <w:t xml:space="preserve"> </w:t>
      </w:r>
      <w:r w:rsidR="00D52538">
        <w:rPr>
          <w:iCs/>
        </w:rPr>
        <w:t>6p-GLCN-lac 6-phosphogluconolactone</w:t>
      </w:r>
      <w:r w:rsidR="00A61236">
        <w:rPr>
          <w:iCs/>
        </w:rPr>
        <w:t xml:space="preserve">, </w:t>
      </w:r>
      <w:r w:rsidR="00D52538">
        <w:rPr>
          <w:iCs/>
        </w:rPr>
        <w:t xml:space="preserve">6p-GLCN </w:t>
      </w:r>
      <w:r w:rsidR="00A61236">
        <w:rPr>
          <w:iCs/>
        </w:rPr>
        <w:t xml:space="preserve">6-phosphoglucono, </w:t>
      </w:r>
      <w:r w:rsidR="00D52538">
        <w:rPr>
          <w:iCs/>
        </w:rPr>
        <w:t>RL5P</w:t>
      </w:r>
      <w:r w:rsidR="00A61236">
        <w:rPr>
          <w:iCs/>
        </w:rPr>
        <w:t xml:space="preserve"> ribulose 5-phosphate, </w:t>
      </w:r>
      <w:r w:rsidR="00D52538">
        <w:rPr>
          <w:iCs/>
        </w:rPr>
        <w:t>R5P</w:t>
      </w:r>
      <w:r w:rsidR="00A61236">
        <w:rPr>
          <w:iCs/>
        </w:rPr>
        <w:t xml:space="preserve"> ribose 5-phosphate, </w:t>
      </w:r>
      <w:r w:rsidR="00D52538">
        <w:rPr>
          <w:iCs/>
        </w:rPr>
        <w:t>S7P</w:t>
      </w:r>
      <w:r w:rsidR="00A61236">
        <w:rPr>
          <w:iCs/>
        </w:rPr>
        <w:t xml:space="preserve"> sedoheptulose 7-phosphate, </w:t>
      </w:r>
      <w:r w:rsidR="00D52538">
        <w:rPr>
          <w:iCs/>
        </w:rPr>
        <w:t>XUL-5P</w:t>
      </w:r>
      <w:r w:rsidR="00A61236">
        <w:rPr>
          <w:iCs/>
        </w:rPr>
        <w:t xml:space="preserve"> xylulose 5-phosphate, </w:t>
      </w:r>
      <w:r w:rsidR="00D52538">
        <w:rPr>
          <w:iCs/>
        </w:rPr>
        <w:t>GAP</w:t>
      </w:r>
      <w:r w:rsidR="00A61236">
        <w:rPr>
          <w:iCs/>
        </w:rPr>
        <w:t xml:space="preserve"> glyceraldehyde 3-phosphate, </w:t>
      </w:r>
      <w:r w:rsidR="00D52538">
        <w:rPr>
          <w:iCs/>
        </w:rPr>
        <w:t>Ery-4P</w:t>
      </w:r>
      <w:r w:rsidR="00A61236">
        <w:rPr>
          <w:iCs/>
        </w:rPr>
        <w:t xml:space="preserve"> erythrose 4-phosphate, </w:t>
      </w:r>
      <w:r w:rsidR="00D52538">
        <w:rPr>
          <w:iCs/>
        </w:rPr>
        <w:t>DAHP</w:t>
      </w:r>
      <w:r w:rsidR="00A61236">
        <w:rPr>
          <w:iCs/>
        </w:rPr>
        <w:t xml:space="preserve"> </w:t>
      </w:r>
      <w:r w:rsidR="00A61236" w:rsidRPr="00A61236">
        <w:rPr>
          <w:iCs/>
        </w:rPr>
        <w:t>3-deoxy-D-arabino-heptulosonate-7-P</w:t>
      </w:r>
      <w:r w:rsidR="00A61236">
        <w:rPr>
          <w:iCs/>
        </w:rPr>
        <w:t xml:space="preserve">, </w:t>
      </w:r>
      <w:r w:rsidR="00D52538">
        <w:rPr>
          <w:iCs/>
        </w:rPr>
        <w:t>DHQ</w:t>
      </w:r>
      <w:r w:rsidR="00A61236">
        <w:rPr>
          <w:iCs/>
        </w:rPr>
        <w:t xml:space="preserve"> </w:t>
      </w:r>
      <w:r w:rsidR="00A61236" w:rsidRPr="00A61236">
        <w:rPr>
          <w:iCs/>
        </w:rPr>
        <w:t>3-dehydroquinate</w:t>
      </w:r>
      <w:r w:rsidR="00A61236">
        <w:rPr>
          <w:iCs/>
        </w:rPr>
        <w:t xml:space="preserve">, </w:t>
      </w:r>
      <w:r w:rsidR="00D52538">
        <w:rPr>
          <w:iCs/>
        </w:rPr>
        <w:t>DHS</w:t>
      </w:r>
      <w:r w:rsidR="00A61236">
        <w:rPr>
          <w:iCs/>
        </w:rPr>
        <w:t xml:space="preserve"> </w:t>
      </w:r>
      <w:r w:rsidR="00A61236" w:rsidRPr="00A61236">
        <w:rPr>
          <w:iCs/>
        </w:rPr>
        <w:t>3-dehydroshikimate</w:t>
      </w:r>
      <w:r w:rsidR="00A61236">
        <w:rPr>
          <w:iCs/>
        </w:rPr>
        <w:t xml:space="preserve">, </w:t>
      </w:r>
      <w:r w:rsidR="00D52538">
        <w:rPr>
          <w:iCs/>
        </w:rPr>
        <w:t>SHIK shikimate</w:t>
      </w:r>
      <w:r w:rsidR="00A61236">
        <w:rPr>
          <w:iCs/>
        </w:rPr>
        <w:t xml:space="preserve">, </w:t>
      </w:r>
      <w:r w:rsidR="00D52538">
        <w:rPr>
          <w:iCs/>
        </w:rPr>
        <w:t>SHP</w:t>
      </w:r>
      <w:r w:rsidR="00A61236" w:rsidRPr="00A61236">
        <w:rPr>
          <w:iCs/>
        </w:rPr>
        <w:t xml:space="preserve"> </w:t>
      </w:r>
      <w:r w:rsidR="00A61236">
        <w:rPr>
          <w:iCs/>
        </w:rPr>
        <w:t xml:space="preserve">shikimate 3-phosphate, </w:t>
      </w:r>
      <w:r w:rsidR="00D52538">
        <w:rPr>
          <w:iCs/>
        </w:rPr>
        <w:t>EP3P</w:t>
      </w:r>
      <w:r w:rsidR="00A61236">
        <w:rPr>
          <w:iCs/>
        </w:rPr>
        <w:t xml:space="preserve"> </w:t>
      </w:r>
      <w:r w:rsidR="00A61236" w:rsidRPr="00A61236">
        <w:rPr>
          <w:iCs/>
        </w:rPr>
        <w:t>5-enolpyruvoyl-shikimate 3-phosphate</w:t>
      </w:r>
      <w:r w:rsidR="00A61236">
        <w:rPr>
          <w:iCs/>
        </w:rPr>
        <w:t xml:space="preserve">, </w:t>
      </w:r>
      <w:r w:rsidR="00D52538">
        <w:rPr>
          <w:iCs/>
        </w:rPr>
        <w:t>CHA</w:t>
      </w:r>
      <w:r w:rsidR="00A61236">
        <w:rPr>
          <w:iCs/>
        </w:rPr>
        <w:t xml:space="preserve"> chorismate, </w:t>
      </w:r>
      <w:r w:rsidR="00D52538">
        <w:rPr>
          <w:iCs/>
        </w:rPr>
        <w:t>PPA prephenate</w:t>
      </w:r>
      <w:r w:rsidR="00A61236">
        <w:rPr>
          <w:iCs/>
        </w:rPr>
        <w:t xml:space="preserve">,  </w:t>
      </w:r>
      <w:r w:rsidR="00A61236">
        <w:rPr>
          <w:rFonts w:cstheme="minorHAnsi"/>
        </w:rPr>
        <w:t xml:space="preserve">PPY phenylpyruvate, </w:t>
      </w:r>
      <w:r w:rsidR="00F071E5">
        <w:rPr>
          <w:rFonts w:cstheme="minorHAnsi"/>
        </w:rPr>
        <w:t xml:space="preserve">PAC phenylacetaldehyde </w:t>
      </w:r>
      <w:r w:rsidR="00A61236">
        <w:rPr>
          <w:rFonts w:cstheme="minorHAnsi"/>
        </w:rPr>
        <w:t>2PE</w:t>
      </w:r>
      <w:r w:rsidR="00A61236" w:rsidRPr="008C292E">
        <w:rPr>
          <w:rFonts w:cstheme="minorHAnsi"/>
        </w:rPr>
        <w:t xml:space="preserve"> 2-phenylethanol</w:t>
      </w:r>
      <w:r w:rsidR="00A61236">
        <w:rPr>
          <w:rFonts w:cstheme="minorHAnsi"/>
        </w:rPr>
        <w:t xml:space="preserve">, PAA phenylacetic acid, PHE L-phenylalanine, </w:t>
      </w:r>
      <w:r w:rsidR="00A61236" w:rsidRPr="00521BAD">
        <w:rPr>
          <w:rFonts w:cstheme="minorHAnsi"/>
          <w:i/>
          <w:color w:val="000000" w:themeColor="text1"/>
        </w:rPr>
        <w:t>p</w:t>
      </w:r>
      <w:r w:rsidR="00A61236" w:rsidRPr="00521BAD">
        <w:rPr>
          <w:rFonts w:cstheme="minorHAnsi"/>
          <w:color w:val="000000" w:themeColor="text1"/>
        </w:rPr>
        <w:t>OHPPY</w:t>
      </w:r>
      <w:r w:rsidR="00A61236" w:rsidRPr="00A15080">
        <w:rPr>
          <w:rFonts w:cstheme="minorHAnsi"/>
          <w:color w:val="000000" w:themeColor="text1"/>
        </w:rPr>
        <w:t xml:space="preserve"> </w:t>
      </w:r>
      <w:r w:rsidR="00A61236" w:rsidRPr="00A15080">
        <w:rPr>
          <w:rFonts w:cstheme="minorHAnsi"/>
          <w:i/>
          <w:color w:val="000000" w:themeColor="text1"/>
        </w:rPr>
        <w:t>p-</w:t>
      </w:r>
      <w:r w:rsidR="00A61236">
        <w:rPr>
          <w:rFonts w:cstheme="minorHAnsi"/>
        </w:rPr>
        <w:t>hydroxy</w:t>
      </w:r>
      <w:r w:rsidR="00A61236" w:rsidRPr="008C292E">
        <w:rPr>
          <w:rFonts w:cstheme="minorHAnsi"/>
        </w:rPr>
        <w:t>phenylpyruvate</w:t>
      </w:r>
      <w:r w:rsidR="00A61236">
        <w:rPr>
          <w:rFonts w:cstheme="minorHAnsi"/>
        </w:rPr>
        <w:t>,</w:t>
      </w:r>
      <w:r w:rsidR="00F071E5" w:rsidRPr="00F071E5">
        <w:rPr>
          <w:rFonts w:cstheme="minorHAnsi"/>
        </w:rPr>
        <w:t xml:space="preserve"> </w:t>
      </w:r>
      <w:r w:rsidR="00F071E5" w:rsidRPr="00F071E5">
        <w:rPr>
          <w:rFonts w:cstheme="minorHAnsi"/>
          <w:i/>
        </w:rPr>
        <w:t>p</w:t>
      </w:r>
      <w:r w:rsidR="00F071E5">
        <w:rPr>
          <w:rFonts w:cstheme="minorHAnsi"/>
        </w:rPr>
        <w:t>OH</w:t>
      </w:r>
      <w:r w:rsidR="00F071E5" w:rsidRPr="00F071E5">
        <w:rPr>
          <w:rFonts w:cstheme="minorHAnsi"/>
        </w:rPr>
        <w:t>PAC</w:t>
      </w:r>
      <w:r w:rsidR="00F071E5">
        <w:rPr>
          <w:rFonts w:cstheme="minorHAnsi"/>
        </w:rPr>
        <w:t xml:space="preserve"> </w:t>
      </w:r>
      <w:r w:rsidR="00F071E5" w:rsidRPr="00F071E5">
        <w:rPr>
          <w:rFonts w:cstheme="minorHAnsi"/>
          <w:i/>
        </w:rPr>
        <w:t>p</w:t>
      </w:r>
      <w:r w:rsidR="00F071E5">
        <w:rPr>
          <w:rFonts w:cstheme="minorHAnsi"/>
        </w:rPr>
        <w:t>-hydroxyphenylacetaldehyde,</w:t>
      </w:r>
      <w:r w:rsidR="00A61236">
        <w:rPr>
          <w:rFonts w:cstheme="minorHAnsi"/>
        </w:rPr>
        <w:t xml:space="preserve"> </w:t>
      </w:r>
      <w:r w:rsidR="00A61236" w:rsidRPr="008B43BA">
        <w:rPr>
          <w:rFonts w:cstheme="minorHAnsi"/>
          <w:i/>
        </w:rPr>
        <w:t>p</w:t>
      </w:r>
      <w:r w:rsidR="00A61236">
        <w:rPr>
          <w:rFonts w:cstheme="minorHAnsi"/>
        </w:rPr>
        <w:t>OH2PE</w:t>
      </w:r>
      <w:r w:rsidR="00F071E5">
        <w:rPr>
          <w:rFonts w:cstheme="minorHAnsi"/>
        </w:rPr>
        <w:t>,</w:t>
      </w:r>
      <w:r w:rsidR="00A61236" w:rsidRPr="008C292E">
        <w:rPr>
          <w:rFonts w:cstheme="minorHAnsi"/>
        </w:rPr>
        <w:t xml:space="preserve"> </w:t>
      </w:r>
      <w:r w:rsidR="00A61236" w:rsidRPr="00A15080">
        <w:rPr>
          <w:rFonts w:cstheme="minorHAnsi"/>
          <w:i/>
        </w:rPr>
        <w:t>p</w:t>
      </w:r>
      <w:r w:rsidR="00A61236" w:rsidRPr="008C292E">
        <w:rPr>
          <w:rFonts w:cstheme="minorHAnsi"/>
        </w:rPr>
        <w:t>-hydroxyphenylethanol</w:t>
      </w:r>
      <w:r w:rsidR="00A61236">
        <w:rPr>
          <w:rFonts w:cstheme="minorHAnsi"/>
        </w:rPr>
        <w:t xml:space="preserve">, </w:t>
      </w:r>
      <w:r w:rsidR="00A61236" w:rsidRPr="008B43BA">
        <w:rPr>
          <w:rFonts w:cstheme="minorHAnsi"/>
          <w:i/>
        </w:rPr>
        <w:t>p</w:t>
      </w:r>
      <w:r w:rsidR="00A61236">
        <w:rPr>
          <w:rFonts w:cstheme="minorHAnsi"/>
        </w:rPr>
        <w:t>OHPAA</w:t>
      </w:r>
      <w:r w:rsidR="00F071E5">
        <w:rPr>
          <w:rFonts w:cstheme="minorHAnsi"/>
        </w:rPr>
        <w:t>,</w:t>
      </w:r>
      <w:r w:rsidR="00A61236" w:rsidRPr="008C292E">
        <w:rPr>
          <w:rFonts w:cstheme="minorHAnsi"/>
        </w:rPr>
        <w:t xml:space="preserve"> </w:t>
      </w:r>
      <w:r w:rsidR="00A61236" w:rsidRPr="00A15080">
        <w:rPr>
          <w:rFonts w:cstheme="minorHAnsi"/>
          <w:i/>
        </w:rPr>
        <w:t>p</w:t>
      </w:r>
      <w:r w:rsidR="00A61236" w:rsidRPr="008C292E">
        <w:rPr>
          <w:rFonts w:cstheme="minorHAnsi"/>
        </w:rPr>
        <w:t>-hydroxyphenyl</w:t>
      </w:r>
      <w:r w:rsidR="00A61236">
        <w:rPr>
          <w:rFonts w:cstheme="minorHAnsi"/>
        </w:rPr>
        <w:t xml:space="preserve">acetic acid, TYR tyrosine, </w:t>
      </w:r>
      <w:r w:rsidR="00A61236" w:rsidRPr="008C292E">
        <w:rPr>
          <w:rFonts w:cstheme="minorHAnsi"/>
        </w:rPr>
        <w:t>COUM coumaric acid</w:t>
      </w:r>
      <w:r w:rsidR="00A61236">
        <w:rPr>
          <w:rFonts w:cstheme="minorHAnsi"/>
        </w:rPr>
        <w:t xml:space="preserve">, </w:t>
      </w:r>
      <w:r w:rsidR="00A61236" w:rsidRPr="008C292E">
        <w:rPr>
          <w:rFonts w:cstheme="minorHAnsi"/>
        </w:rPr>
        <w:t>CIN cinnamic acid</w:t>
      </w:r>
      <w:r w:rsidR="00A61236">
        <w:rPr>
          <w:rFonts w:cstheme="minorHAnsi"/>
        </w:rPr>
        <w:t>, COCOA</w:t>
      </w:r>
      <w:r w:rsidR="00A61236" w:rsidRPr="008C292E">
        <w:rPr>
          <w:rFonts w:cstheme="minorHAnsi"/>
        </w:rPr>
        <w:t xml:space="preserve"> coumaroyl-CoA</w:t>
      </w:r>
      <w:r w:rsidR="00F071E5">
        <w:rPr>
          <w:rFonts w:cstheme="minorHAnsi"/>
        </w:rPr>
        <w:t>,</w:t>
      </w:r>
      <w:r w:rsidR="00A61236" w:rsidRPr="00A61236">
        <w:rPr>
          <w:rFonts w:cstheme="minorHAnsi"/>
        </w:rPr>
        <w:t xml:space="preserve"> </w:t>
      </w:r>
      <w:r w:rsidR="00A61236">
        <w:rPr>
          <w:rFonts w:cstheme="minorHAnsi"/>
        </w:rPr>
        <w:t>NAR</w:t>
      </w:r>
      <w:r w:rsidR="00A61236" w:rsidRPr="008C292E">
        <w:rPr>
          <w:rFonts w:cstheme="minorHAnsi"/>
        </w:rPr>
        <w:t>CC naringenin chalcone</w:t>
      </w:r>
      <w:r w:rsidR="00F071E5">
        <w:rPr>
          <w:rFonts w:cstheme="minorHAnsi"/>
        </w:rPr>
        <w:t xml:space="preserve">, </w:t>
      </w:r>
      <w:r w:rsidR="00A61236" w:rsidRPr="008C292E">
        <w:rPr>
          <w:rFonts w:cstheme="minorHAnsi"/>
        </w:rPr>
        <w:t>P</w:t>
      </w:r>
      <w:r w:rsidR="00A61236">
        <w:rPr>
          <w:rFonts w:cstheme="minorHAnsi"/>
        </w:rPr>
        <w:t>HLOR phloretic acid</w:t>
      </w:r>
      <w:r w:rsidR="00F071E5">
        <w:rPr>
          <w:rFonts w:cstheme="minorHAnsi"/>
        </w:rPr>
        <w:t>,</w:t>
      </w:r>
      <w:r w:rsidR="00F071E5" w:rsidRPr="00F071E5">
        <w:rPr>
          <w:rFonts w:cstheme="minorHAnsi"/>
        </w:rPr>
        <w:t xml:space="preserve"> </w:t>
      </w:r>
      <w:r w:rsidR="00F071E5">
        <w:rPr>
          <w:rFonts w:cstheme="minorHAnsi"/>
        </w:rPr>
        <w:t>NAR</w:t>
      </w:r>
      <w:r w:rsidR="00F071E5" w:rsidRPr="00F071E5">
        <w:rPr>
          <w:rFonts w:cstheme="minorHAnsi"/>
        </w:rPr>
        <w:t xml:space="preserve"> naringenin</w:t>
      </w:r>
      <w:r w:rsidR="00F071E5">
        <w:rPr>
          <w:rFonts w:cstheme="minorHAnsi"/>
        </w:rPr>
        <w:t xml:space="preserve">, </w:t>
      </w:r>
      <w:r w:rsidR="00A61236" w:rsidRPr="00FE69A7">
        <w:rPr>
          <w:rFonts w:cstheme="minorHAnsi"/>
        </w:rPr>
        <w:t>DHK</w:t>
      </w:r>
      <w:r w:rsidR="00F071E5">
        <w:rPr>
          <w:rFonts w:cstheme="minorHAnsi"/>
        </w:rPr>
        <w:t xml:space="preserve"> </w:t>
      </w:r>
      <w:r w:rsidR="00A61236" w:rsidRPr="00FE69A7">
        <w:rPr>
          <w:rFonts w:cstheme="minorHAnsi"/>
        </w:rPr>
        <w:t>dihydrokaempferol</w:t>
      </w:r>
      <w:r w:rsidR="00F071E5">
        <w:rPr>
          <w:rFonts w:cstheme="minorHAnsi"/>
        </w:rPr>
        <w:t>, KAE</w:t>
      </w:r>
      <w:r w:rsidR="00F071E5" w:rsidRPr="00F071E5">
        <w:rPr>
          <w:rFonts w:cstheme="minorHAnsi"/>
        </w:rPr>
        <w:t xml:space="preserve"> kaempferol, </w:t>
      </w:r>
      <w:r w:rsidR="00F071E5">
        <w:rPr>
          <w:rFonts w:cstheme="minorHAnsi"/>
        </w:rPr>
        <w:t>K3G</w:t>
      </w:r>
      <w:r w:rsidR="00F071E5" w:rsidRPr="00FE69A7">
        <w:rPr>
          <w:rFonts w:cstheme="minorHAnsi"/>
        </w:rPr>
        <w:t xml:space="preserve"> kaempferol 3-O-glucoside</w:t>
      </w:r>
      <w:r w:rsidR="00F071E5" w:rsidRPr="00F071E5">
        <w:rPr>
          <w:rFonts w:cstheme="minorHAnsi"/>
        </w:rPr>
        <w:t>, LPE, leucopelargonidin</w:t>
      </w:r>
      <w:r w:rsidR="00F071E5">
        <w:rPr>
          <w:rFonts w:cstheme="minorHAnsi"/>
        </w:rPr>
        <w:t xml:space="preserve">, </w:t>
      </w:r>
      <w:r w:rsidR="00A61236" w:rsidRPr="00A61236">
        <w:rPr>
          <w:rFonts w:cstheme="minorHAnsi"/>
        </w:rPr>
        <w:t>PEL pelargonidin</w:t>
      </w:r>
      <w:r w:rsidR="00F071E5">
        <w:rPr>
          <w:rFonts w:cstheme="minorHAnsi"/>
        </w:rPr>
        <w:t>,</w:t>
      </w:r>
      <w:r w:rsidR="00F071E5" w:rsidRPr="00F071E5">
        <w:rPr>
          <w:rFonts w:cstheme="minorHAnsi"/>
        </w:rPr>
        <w:t xml:space="preserve"> </w:t>
      </w:r>
      <w:r w:rsidR="00F071E5" w:rsidRPr="00FE69A7">
        <w:rPr>
          <w:rFonts w:cstheme="minorHAnsi"/>
        </w:rPr>
        <w:t>P3G pelargonidin 3-O-glucoside</w:t>
      </w:r>
    </w:p>
    <w:p w14:paraId="36CA6A24" w14:textId="761A461A" w:rsidR="00235EEE" w:rsidRDefault="00235EEE" w:rsidP="00FE7FAA"/>
    <w:p w14:paraId="65FDEC41" w14:textId="6707A4F8" w:rsidR="00DF0271" w:rsidRDefault="000364D9" w:rsidP="003D1549">
      <w:pPr>
        <w:pStyle w:val="Heading2"/>
      </w:pPr>
      <w:r>
        <w:t xml:space="preserve">Supplementary </w:t>
      </w:r>
      <w:r w:rsidR="00886A0C">
        <w:t xml:space="preserve">Figure </w:t>
      </w:r>
      <w:fldSimple w:instr=" SEQ Figure \* ARABIC ">
        <w:r w:rsidR="00BF2676">
          <w:rPr>
            <w:noProof/>
          </w:rPr>
          <w:t>2</w:t>
        </w:r>
      </w:fldSimple>
      <w:r w:rsidR="00886A0C">
        <w:t xml:space="preserve"> </w:t>
      </w:r>
      <w:r w:rsidR="00074645">
        <w:t>–</w:t>
      </w:r>
      <w:r w:rsidR="005B6E5E">
        <w:t xml:space="preserve"> </w:t>
      </w:r>
      <w:r w:rsidR="00DF0271">
        <w:t>F</w:t>
      </w:r>
      <w:r w:rsidR="00074645">
        <w:t xml:space="preserve">low cytometric </w:t>
      </w:r>
      <w:r w:rsidR="005B6E5E">
        <w:t xml:space="preserve">analysis </w:t>
      </w:r>
      <w:r w:rsidR="00DF0271">
        <w:t>of</w:t>
      </w:r>
      <w:r w:rsidR="005B6E5E">
        <w:t xml:space="preserve"> the</w:t>
      </w:r>
      <w:r w:rsidR="00886A0C">
        <w:t xml:space="preserve"> </w:t>
      </w:r>
      <w:r w:rsidR="00405A1D">
        <w:t>test</w:t>
      </w:r>
      <w:r w:rsidR="00886A0C">
        <w:t xml:space="preserve"> linear neochromosomes</w:t>
      </w:r>
    </w:p>
    <w:p w14:paraId="2D8D64E5" w14:textId="152B498A" w:rsidR="00193BF8" w:rsidRDefault="008937EE" w:rsidP="00193BF8">
      <w:pPr>
        <w:jc w:val="both"/>
      </w:pPr>
      <w:r>
        <w:t>Cells from shake flask cultures were analys</w:t>
      </w:r>
      <w:r w:rsidR="003D1549">
        <w:t>ed</w:t>
      </w:r>
      <w:r>
        <w:t xml:space="preserve"> by FACS. </w:t>
      </w:r>
      <w:r w:rsidR="00193BF8" w:rsidRPr="00193BF8">
        <w:t xml:space="preserve">The fluorescence is plotted on the y-axis and the </w:t>
      </w:r>
      <w:r w:rsidR="00081963">
        <w:t>forward scatter (</w:t>
      </w:r>
      <w:r w:rsidR="00193BF8" w:rsidRPr="00193BF8">
        <w:t>FSC-A</w:t>
      </w:r>
      <w:r w:rsidR="003D1549">
        <w:t>)</w:t>
      </w:r>
      <w:r w:rsidR="00193BF8" w:rsidRPr="00193BF8">
        <w:t xml:space="preserve"> on the x-axis. Negative control: CEN.PK113-7D. Positive controls: IMC111 (mRuby2), IMC112 (mTurquoise2)</w:t>
      </w:r>
      <w:r w:rsidR="00893F90">
        <w:t xml:space="preserve"> and IMF6 (mRuby</w:t>
      </w:r>
      <w:r w:rsidR="006A3A8B">
        <w:t>2</w:t>
      </w:r>
      <w:r w:rsidR="00893F90">
        <w:t xml:space="preserve"> and mTurquoise</w:t>
      </w:r>
      <w:r w:rsidR="006A3A8B">
        <w:t>2</w:t>
      </w:r>
      <w:r w:rsidR="00893F90">
        <w:t>)</w:t>
      </w:r>
      <w:r w:rsidR="00193BF8" w:rsidRPr="00193BF8">
        <w:t>. Gates for fluorescence of the two different fluorescent proteins were drawn based on the IMC111 and IMC112 controls. Approximately 10000 events are shown for each plot</w:t>
      </w:r>
      <w:r w:rsidR="00193BF8">
        <w:t>.</w:t>
      </w:r>
    </w:p>
    <w:p w14:paraId="2B2AA78D" w14:textId="7260489E" w:rsidR="00E5437F" w:rsidRDefault="00E5437F">
      <w:pPr>
        <w:rPr>
          <w:rFonts w:asciiTheme="majorHAnsi" w:eastAsiaTheme="majorEastAsia" w:hAnsiTheme="majorHAnsi" w:cstheme="majorBidi"/>
          <w:color w:val="2E74B5" w:themeColor="accent1" w:themeShade="BF"/>
          <w:sz w:val="26"/>
          <w:szCs w:val="26"/>
        </w:rPr>
      </w:pPr>
    </w:p>
    <w:p w14:paraId="42695B95" w14:textId="3DED4EF5" w:rsidR="00DF0271" w:rsidRDefault="000364D9">
      <w:pPr>
        <w:pStyle w:val="Heading2"/>
      </w:pPr>
      <w:r>
        <w:t xml:space="preserve">Supplementary </w:t>
      </w:r>
      <w:r w:rsidR="00DF0271">
        <w:t xml:space="preserve">Figure </w:t>
      </w:r>
      <w:fldSimple w:instr=" SEQ Figure \* ARABIC ">
        <w:r w:rsidR="00BF2676">
          <w:rPr>
            <w:noProof/>
          </w:rPr>
          <w:t>3</w:t>
        </w:r>
      </w:fldSimple>
      <w:r w:rsidR="00DF0271">
        <w:t xml:space="preserve"> </w:t>
      </w:r>
      <w:r w:rsidR="005B6E5E">
        <w:t xml:space="preserve">- </w:t>
      </w:r>
      <w:r w:rsidR="005A1C46">
        <w:t xml:space="preserve">Separation of the test linear neochromosomes on pulsed-field electrophoresis </w:t>
      </w:r>
    </w:p>
    <w:p w14:paraId="6B6098EB" w14:textId="7AF30692" w:rsidR="008C7F5C" w:rsidRDefault="00886A0C" w:rsidP="008C7F5C">
      <w:pPr>
        <w:jc w:val="both"/>
      </w:pPr>
      <w:r w:rsidRPr="00886A0C">
        <w:rPr>
          <w:b/>
        </w:rPr>
        <w:t xml:space="preserve">A. </w:t>
      </w:r>
      <w:r>
        <w:t>1) IMX1338: control strain without neochromosome. 2) IMF6: control strain with 100 kb in plug linearized neochromosome</w:t>
      </w:r>
      <w:r w:rsidR="000364D9">
        <w:t xml:space="preserve"> NeoChr1</w:t>
      </w:r>
      <w:r>
        <w:t>. 3) IMF23: strain with 100 kb in plug linearized NeoChr12. 4) NeoChr10.10: correct size. 5)NeoChr</w:t>
      </w:r>
      <w:r w:rsidR="008C7F5C">
        <w:t>10.13: correct size. 6) NeoChr10.16: wrong size. 7) NeoChr11.7: no visible neochromosome. 8) NeoChr11.8: wrong size. 9)</w:t>
      </w:r>
      <w:r w:rsidR="008C7F5C" w:rsidRPr="008C7F5C">
        <w:t xml:space="preserve"> </w:t>
      </w:r>
      <w:r w:rsidR="008C7F5C">
        <w:t>NeoChr11.12: wrong size. 10)</w:t>
      </w:r>
      <w:r w:rsidR="008C7F5C" w:rsidRPr="008C7F5C">
        <w:t xml:space="preserve"> </w:t>
      </w:r>
      <w:r w:rsidR="008C7F5C">
        <w:t>NeoChr11.19: correct size. 11)NeoChr11.22: wrong size. 12)</w:t>
      </w:r>
      <w:r w:rsidR="008C7F5C" w:rsidRPr="008C7F5C">
        <w:t xml:space="preserve"> </w:t>
      </w:r>
      <w:r w:rsidR="008C7F5C">
        <w:t xml:space="preserve">NeoChr11.26: no visible neochromosome. 13) </w:t>
      </w:r>
      <w:r w:rsidR="00081963">
        <w:t xml:space="preserve">Size </w:t>
      </w:r>
      <w:r w:rsidR="000364D9">
        <w:t>l</w:t>
      </w:r>
      <w:r w:rsidR="008C7F5C">
        <w:t>adder</w:t>
      </w:r>
    </w:p>
    <w:p w14:paraId="201AC77C" w14:textId="65F921BD" w:rsidR="00724561" w:rsidRDefault="00724561" w:rsidP="00724561">
      <w:pPr>
        <w:jc w:val="both"/>
      </w:pPr>
      <w:r>
        <w:rPr>
          <w:b/>
        </w:rPr>
        <w:t>B</w:t>
      </w:r>
      <w:r w:rsidRPr="00886A0C">
        <w:rPr>
          <w:b/>
        </w:rPr>
        <w:t xml:space="preserve">. </w:t>
      </w:r>
      <w:r>
        <w:t>1) IMX1338: control strain without neochromosome. 2) IMF6: control strain with 100 kb in plug linearized neochromosome</w:t>
      </w:r>
      <w:r w:rsidR="000364D9">
        <w:t xml:space="preserve"> (NeoChr1)</w:t>
      </w:r>
      <w:r>
        <w:t xml:space="preserve">. 3) NeoChr10.30: no visible neochromosome. 4) NeoChr10.47: correct size. 5)NeoChr10.54: correct size. 6) NeoChr10.60: no visible neochromosome. 7) NeoChr10.62: </w:t>
      </w:r>
      <w:r>
        <w:lastRenderedPageBreak/>
        <w:t>correct size. 8) NeoChr10.67: correct size. 9)</w:t>
      </w:r>
      <w:r w:rsidRPr="008C7F5C">
        <w:t xml:space="preserve"> </w:t>
      </w:r>
      <w:r>
        <w:t>NeoChr10.69: correct size. 10)</w:t>
      </w:r>
      <w:r w:rsidRPr="008C7F5C">
        <w:t xml:space="preserve"> </w:t>
      </w:r>
      <w:r>
        <w:t>NeoChr11.29: no visible neochromosome. 11)</w:t>
      </w:r>
      <w:r w:rsidR="006A3A8B">
        <w:t xml:space="preserve"> </w:t>
      </w:r>
      <w:r>
        <w:t xml:space="preserve">NeoChr11.34: wrong size. 12) </w:t>
      </w:r>
      <w:r w:rsidR="000364D9">
        <w:t>Size l</w:t>
      </w:r>
      <w:r>
        <w:t>adder</w:t>
      </w:r>
    </w:p>
    <w:p w14:paraId="28214D80" w14:textId="69C70EB5" w:rsidR="006A3A8B" w:rsidRDefault="006A3A8B" w:rsidP="00724561">
      <w:pPr>
        <w:jc w:val="both"/>
      </w:pPr>
    </w:p>
    <w:p w14:paraId="61ADC7DD" w14:textId="1EF83CC6" w:rsidR="00724561" w:rsidRDefault="000364D9">
      <w:pPr>
        <w:pStyle w:val="Heading2"/>
      </w:pPr>
      <w:r>
        <w:t xml:space="preserve">Supplementary Figure </w:t>
      </w:r>
      <w:fldSimple w:instr=" SEQ Figure \* ARABIC ">
        <w:r w:rsidR="00BF2676">
          <w:rPr>
            <w:noProof/>
          </w:rPr>
          <w:t>4</w:t>
        </w:r>
      </w:fldSimple>
      <w:r w:rsidR="00724561">
        <w:t xml:space="preserve"> </w:t>
      </w:r>
      <w:r w:rsidR="00081963">
        <w:t xml:space="preserve">- </w:t>
      </w:r>
      <w:r w:rsidR="00724561">
        <w:t xml:space="preserve">Sequencing results of </w:t>
      </w:r>
      <w:r w:rsidR="00405A1D">
        <w:t>test</w:t>
      </w:r>
      <w:r w:rsidR="00724561">
        <w:t xml:space="preserve"> linear neochromosomes</w:t>
      </w:r>
    </w:p>
    <w:p w14:paraId="14E149EF" w14:textId="6EA2F3BF" w:rsidR="00873990" w:rsidRPr="00C17696" w:rsidRDefault="00873990" w:rsidP="00873990">
      <w:pPr>
        <w:spacing w:after="0" w:line="240" w:lineRule="auto"/>
        <w:jc w:val="both"/>
        <w:rPr>
          <w:iCs/>
          <w:color w:val="44546A" w:themeColor="text2"/>
        </w:rPr>
      </w:pPr>
      <w:r w:rsidRPr="00873990">
        <w:rPr>
          <w:i/>
          <w:iCs/>
        </w:rPr>
        <w:t>in silico</w:t>
      </w:r>
      <w:r w:rsidRPr="00873990">
        <w:rPr>
          <w:iCs/>
        </w:rPr>
        <w:t xml:space="preserve"> fragment configuration in NeoChr10 / NeoChr11 as well as </w:t>
      </w:r>
      <w:r w:rsidRPr="00873990">
        <w:rPr>
          <w:i/>
          <w:iCs/>
        </w:rPr>
        <w:t>in vivo</w:t>
      </w:r>
      <w:r w:rsidRPr="00873990">
        <w:rPr>
          <w:iCs/>
        </w:rPr>
        <w:t xml:space="preserve"> fragment configuration of the neochromosome tran</w:t>
      </w:r>
      <w:r w:rsidR="00447B3F">
        <w:rPr>
          <w:iCs/>
        </w:rPr>
        <w:t>s</w:t>
      </w:r>
      <w:r w:rsidRPr="00873990">
        <w:rPr>
          <w:iCs/>
        </w:rPr>
        <w:t xml:space="preserve">formants as measured by long-read nanopore sequencing. The fragments of the </w:t>
      </w:r>
      <w:r w:rsidRPr="00873990">
        <w:rPr>
          <w:i/>
          <w:iCs/>
        </w:rPr>
        <w:t>in silico</w:t>
      </w:r>
      <w:r w:rsidRPr="00873990">
        <w:rPr>
          <w:iCs/>
        </w:rPr>
        <w:t xml:space="preserve"> design which are present in the neochromosome transformants are connected by the same colored line. A dotted line indicates an area which is inverted. Fragments are color coded as follows</w:t>
      </w:r>
      <w:r w:rsidRPr="00873990">
        <w:rPr>
          <w:iCs/>
          <w:color w:val="5B9BD5" w:themeColor="accent1"/>
        </w:rPr>
        <w:t>: blue represents a correctly assembled fragment</w:t>
      </w:r>
      <w:r w:rsidRPr="00873990">
        <w:rPr>
          <w:iCs/>
          <w:color w:val="44546A" w:themeColor="text2"/>
        </w:rPr>
        <w:t xml:space="preserve">; </w:t>
      </w:r>
      <w:r w:rsidRPr="00873990">
        <w:rPr>
          <w:iCs/>
          <w:color w:val="FF0000"/>
        </w:rPr>
        <w:t>red represents a missing fragment</w:t>
      </w:r>
      <w:r w:rsidRPr="00873990">
        <w:rPr>
          <w:iCs/>
          <w:color w:val="44546A" w:themeColor="text2"/>
        </w:rPr>
        <w:t xml:space="preserve">; </w:t>
      </w:r>
      <w:r w:rsidRPr="00873990">
        <w:rPr>
          <w:iCs/>
          <w:color w:val="385623" w:themeColor="accent6" w:themeShade="80"/>
        </w:rPr>
        <w:t>green represents a duplicated fragmen</w:t>
      </w:r>
      <w:r w:rsidRPr="00873990">
        <w:rPr>
          <w:iCs/>
          <w:color w:val="44546A" w:themeColor="text2"/>
        </w:rPr>
        <w:t xml:space="preserve">t; and </w:t>
      </w:r>
      <w:r w:rsidRPr="00873990">
        <w:rPr>
          <w:iCs/>
          <w:color w:val="FFC000" w:themeColor="accent4"/>
        </w:rPr>
        <w:t>yellow indicates an inverted fragment</w:t>
      </w:r>
      <w:r w:rsidRPr="00873990">
        <w:rPr>
          <w:iCs/>
          <w:color w:val="44546A" w:themeColor="text2"/>
        </w:rPr>
        <w:t xml:space="preserve">. </w:t>
      </w:r>
    </w:p>
    <w:p w14:paraId="54D1D089" w14:textId="15591663" w:rsidR="00873990" w:rsidRDefault="00873990" w:rsidP="00C17696">
      <w:pPr>
        <w:spacing w:after="0" w:line="240" w:lineRule="auto"/>
        <w:jc w:val="both"/>
      </w:pPr>
      <w:r w:rsidRPr="00873990">
        <w:rPr>
          <w:iCs/>
        </w:rPr>
        <w:t xml:space="preserve">A) NeoChr10.13 and NeoChr10.47 are missing an internal part of chunk 7A. B) NeoChr10.69 is missing 3 chunks: 8A, 15B and 4D. C) NeoChr10.10 is missing 4 chunks: 7A, 15C, 16B and 4D. D) NeoChr10.67 is missing 6 chunks: 7A, 19D, 16B, 4B, 4D and 9D </w:t>
      </w:r>
      <w:r w:rsidR="00C17696">
        <w:rPr>
          <w:iCs/>
        </w:rPr>
        <w:t xml:space="preserve">, </w:t>
      </w:r>
      <w:r>
        <w:t xml:space="preserve">E) NeoChr10.62 is missing 4 chunks: 15B, 17B, 19A and 17D. In </w:t>
      </w:r>
      <w:r w:rsidR="006D5AF4">
        <w:t>addition,</w:t>
      </w:r>
      <w:r>
        <w:t xml:space="preserve"> a region containing the chunks 4A, 4B, 4C and 4D is duplicated</w:t>
      </w:r>
      <w:r w:rsidR="00C17696">
        <w:t xml:space="preserve"> , </w:t>
      </w:r>
      <w:r>
        <w:t>F) Neochr10.54 has a large inversion from 8D until 19A, from this region 2 chunks are missing: 15C and 18B. This region is link to a region spanning from 19A (which is thus duplicated) until the right telomere. From this region chunk 17D is missing</w:t>
      </w:r>
      <w:r w:rsidR="00C17696">
        <w:t xml:space="preserve">, </w:t>
      </w:r>
      <w:r>
        <w:t>G) NeoChr11.19 contains several duplicated and inverted areas, from one area chunk 16A is missing.</w:t>
      </w:r>
    </w:p>
    <w:p w14:paraId="45B99AFA" w14:textId="42436F91" w:rsidR="006E71F4" w:rsidRPr="00C17696" w:rsidRDefault="006E71F4"/>
    <w:p w14:paraId="53FD9E0E" w14:textId="2B01C37A" w:rsidR="00572BD1" w:rsidRDefault="000364D9">
      <w:pPr>
        <w:pStyle w:val="Heading2"/>
      </w:pPr>
      <w:bookmarkStart w:id="1" w:name="_Hlk68778379"/>
      <w:r>
        <w:t xml:space="preserve">Supplementary </w:t>
      </w:r>
      <w:r w:rsidR="00572BD1">
        <w:t xml:space="preserve">Figure </w:t>
      </w:r>
      <w:fldSimple w:instr=" SEQ Figure \* ARABIC ">
        <w:r w:rsidR="00BF2676">
          <w:rPr>
            <w:noProof/>
          </w:rPr>
          <w:t>5</w:t>
        </w:r>
      </w:fldSimple>
      <w:r w:rsidR="00572BD1">
        <w:t xml:space="preserve"> </w:t>
      </w:r>
      <w:r w:rsidR="00081963">
        <w:t xml:space="preserve">- </w:t>
      </w:r>
      <w:r w:rsidR="00572BD1">
        <w:t>NeoChr copy number estimation based on fluorescence</w:t>
      </w:r>
    </w:p>
    <w:p w14:paraId="0DAF8D32" w14:textId="76DE7963" w:rsidR="00572BD1" w:rsidRDefault="00572BD1" w:rsidP="00DB7022">
      <w:pPr>
        <w:jc w:val="both"/>
      </w:pPr>
      <w:r w:rsidRPr="00572BD1">
        <w:t>mRuby2</w:t>
      </w:r>
      <w:r>
        <w:t xml:space="preserve"> and mTurquoise2</w:t>
      </w:r>
      <w:r w:rsidRPr="00572BD1">
        <w:t xml:space="preserve"> fluorescence</w:t>
      </w:r>
      <w:bookmarkEnd w:id="1"/>
      <w:r w:rsidR="00081963">
        <w:t xml:space="preserve"> was measured by flow cytometry</w:t>
      </w:r>
      <w:r w:rsidRPr="00572BD1">
        <w:t xml:space="preserve">. CEN.PK113-7D with no </w:t>
      </w:r>
      <w:r>
        <w:t>fluorescent markers</w:t>
      </w:r>
      <w:r w:rsidRPr="00572BD1">
        <w:t xml:space="preserve"> was used as negative control</w:t>
      </w:r>
      <w:r w:rsidR="00DB7022">
        <w:t>. IMX2224 and IMX2226</w:t>
      </w:r>
      <w:r w:rsidRPr="00572BD1">
        <w:t xml:space="preserve"> with a single copy of </w:t>
      </w:r>
      <w:r w:rsidRPr="00DB7022">
        <w:rPr>
          <w:i/>
          <w:iCs/>
        </w:rPr>
        <w:t>mRuby2</w:t>
      </w:r>
      <w:r w:rsidR="00DB7022">
        <w:t xml:space="preserve"> and </w:t>
      </w:r>
      <w:r w:rsidR="00DB7022" w:rsidRPr="00DB7022">
        <w:rPr>
          <w:i/>
          <w:iCs/>
        </w:rPr>
        <w:t>mTurquoise2</w:t>
      </w:r>
      <w:r w:rsidRPr="00572BD1">
        <w:t xml:space="preserve"> integrated in the genome</w:t>
      </w:r>
      <w:r w:rsidR="00DB7022">
        <w:t>, respectively, were used as</w:t>
      </w:r>
      <w:r w:rsidRPr="00572BD1">
        <w:t xml:space="preserve"> positive control</w:t>
      </w:r>
      <w:r w:rsidR="00DB7022">
        <w:t>s</w:t>
      </w:r>
      <w:r w:rsidRPr="00572BD1">
        <w:t>.</w:t>
      </w:r>
      <w:r w:rsidR="00DB7022">
        <w:t xml:space="preserve"> All </w:t>
      </w:r>
      <w:r w:rsidR="005A5E5F">
        <w:t xml:space="preserve">strains </w:t>
      </w:r>
      <w:r w:rsidR="00DB7022">
        <w:t>show</w:t>
      </w:r>
      <w:r w:rsidR="00081963">
        <w:t>ed</w:t>
      </w:r>
      <w:r w:rsidR="00DB7022">
        <w:t xml:space="preserve"> a fluorescence corresponding to </w:t>
      </w:r>
      <w:r w:rsidR="000364D9">
        <w:t xml:space="preserve">the expected </w:t>
      </w:r>
      <w:r w:rsidR="005A5E5F">
        <w:t>NeoChr</w:t>
      </w:r>
      <w:r w:rsidR="000364D9">
        <w:t>.</w:t>
      </w:r>
      <w:r w:rsidR="007106BC">
        <w:t xml:space="preserve"> copy number.</w:t>
      </w:r>
    </w:p>
    <w:p w14:paraId="0D4374D1" w14:textId="01966A8F" w:rsidR="008713F8" w:rsidRDefault="008713F8" w:rsidP="00572BD1"/>
    <w:p w14:paraId="6DA74029" w14:textId="477A6A45" w:rsidR="008115C0" w:rsidRPr="00C17696" w:rsidRDefault="000364D9" w:rsidP="00C17696">
      <w:pPr>
        <w:keepNext/>
        <w:keepLines/>
        <w:spacing w:before="40" w:after="0"/>
        <w:outlineLvl w:val="1"/>
        <w:rPr>
          <w:rFonts w:asciiTheme="majorHAnsi" w:eastAsiaTheme="majorEastAsia" w:hAnsiTheme="majorHAnsi" w:cstheme="majorBidi"/>
          <w:color w:val="2E74B5" w:themeColor="accent1" w:themeShade="BF"/>
          <w:sz w:val="26"/>
          <w:szCs w:val="26"/>
        </w:rPr>
      </w:pPr>
      <w:r>
        <w:rPr>
          <w:rFonts w:asciiTheme="majorHAnsi" w:eastAsiaTheme="majorEastAsia" w:hAnsiTheme="majorHAnsi" w:cstheme="majorBidi"/>
          <w:color w:val="2E74B5" w:themeColor="accent1" w:themeShade="BF"/>
          <w:sz w:val="26"/>
          <w:szCs w:val="26"/>
        </w:rPr>
        <w:t xml:space="preserve">Supplementary Figure </w:t>
      </w:r>
      <w:r w:rsidR="005A5E5F" w:rsidRPr="005A5E5F">
        <w:rPr>
          <w:rFonts w:asciiTheme="majorHAnsi" w:eastAsiaTheme="majorEastAsia" w:hAnsiTheme="majorHAnsi" w:cstheme="majorBidi"/>
          <w:color w:val="2E74B5" w:themeColor="accent1" w:themeShade="BF"/>
          <w:sz w:val="26"/>
          <w:szCs w:val="26"/>
        </w:rPr>
        <w:fldChar w:fldCharType="begin"/>
      </w:r>
      <w:r w:rsidR="005A5E5F" w:rsidRPr="005A5E5F">
        <w:rPr>
          <w:rFonts w:asciiTheme="majorHAnsi" w:eastAsiaTheme="majorEastAsia" w:hAnsiTheme="majorHAnsi" w:cstheme="majorBidi"/>
          <w:color w:val="2E74B5" w:themeColor="accent1" w:themeShade="BF"/>
          <w:sz w:val="26"/>
          <w:szCs w:val="26"/>
        </w:rPr>
        <w:instrText xml:space="preserve"> SEQ Figure \* ARABIC </w:instrText>
      </w:r>
      <w:r w:rsidR="005A5E5F" w:rsidRPr="005A5E5F">
        <w:rPr>
          <w:rFonts w:asciiTheme="majorHAnsi" w:eastAsiaTheme="majorEastAsia" w:hAnsiTheme="majorHAnsi" w:cstheme="majorBidi"/>
          <w:color w:val="2E74B5" w:themeColor="accent1" w:themeShade="BF"/>
          <w:sz w:val="26"/>
          <w:szCs w:val="26"/>
        </w:rPr>
        <w:fldChar w:fldCharType="separate"/>
      </w:r>
      <w:r w:rsidR="00BF2676">
        <w:rPr>
          <w:rFonts w:asciiTheme="majorHAnsi" w:eastAsiaTheme="majorEastAsia" w:hAnsiTheme="majorHAnsi" w:cstheme="majorBidi"/>
          <w:noProof/>
          <w:color w:val="2E74B5" w:themeColor="accent1" w:themeShade="BF"/>
          <w:sz w:val="26"/>
          <w:szCs w:val="26"/>
        </w:rPr>
        <w:t>6</w:t>
      </w:r>
      <w:r w:rsidR="005A5E5F" w:rsidRPr="005A5E5F">
        <w:rPr>
          <w:rFonts w:asciiTheme="majorHAnsi" w:eastAsiaTheme="majorEastAsia" w:hAnsiTheme="majorHAnsi" w:cstheme="majorBidi"/>
          <w:noProof/>
          <w:color w:val="2E74B5" w:themeColor="accent1" w:themeShade="BF"/>
          <w:sz w:val="26"/>
          <w:szCs w:val="26"/>
        </w:rPr>
        <w:fldChar w:fldCharType="end"/>
      </w:r>
      <w:r w:rsidR="005A5E5F" w:rsidRPr="005A5E5F">
        <w:rPr>
          <w:rFonts w:asciiTheme="majorHAnsi" w:eastAsiaTheme="majorEastAsia" w:hAnsiTheme="majorHAnsi" w:cstheme="majorBidi"/>
          <w:color w:val="2E74B5" w:themeColor="accent1" w:themeShade="BF"/>
          <w:sz w:val="26"/>
          <w:szCs w:val="26"/>
        </w:rPr>
        <w:t xml:space="preserve"> </w:t>
      </w:r>
      <w:r w:rsidR="00376577">
        <w:rPr>
          <w:rFonts w:asciiTheme="majorHAnsi" w:eastAsiaTheme="majorEastAsia" w:hAnsiTheme="majorHAnsi" w:cstheme="majorBidi"/>
          <w:color w:val="2E74B5" w:themeColor="accent1" w:themeShade="BF"/>
          <w:sz w:val="26"/>
          <w:szCs w:val="26"/>
        </w:rPr>
        <w:t xml:space="preserve">- </w:t>
      </w:r>
      <w:r w:rsidR="005A5E5F" w:rsidRPr="005A5E5F">
        <w:rPr>
          <w:rFonts w:asciiTheme="majorHAnsi" w:eastAsiaTheme="majorEastAsia" w:hAnsiTheme="majorHAnsi" w:cstheme="majorBidi"/>
          <w:color w:val="2E74B5" w:themeColor="accent1" w:themeShade="BF"/>
          <w:sz w:val="26"/>
          <w:szCs w:val="26"/>
        </w:rPr>
        <w:t xml:space="preserve">NeoChr copy number estimation based on </w:t>
      </w:r>
      <w:r w:rsidR="005A5E5F">
        <w:rPr>
          <w:rFonts w:asciiTheme="majorHAnsi" w:eastAsiaTheme="majorEastAsia" w:hAnsiTheme="majorHAnsi" w:cstheme="majorBidi"/>
          <w:color w:val="2E74B5" w:themeColor="accent1" w:themeShade="BF"/>
          <w:sz w:val="26"/>
          <w:szCs w:val="26"/>
        </w:rPr>
        <w:t>sequencing</w:t>
      </w:r>
    </w:p>
    <w:p w14:paraId="7FE58A99" w14:textId="13D857A6" w:rsidR="008115C0" w:rsidRDefault="000364D9" w:rsidP="000364D9">
      <w:pPr>
        <w:jc w:val="both"/>
      </w:pPr>
      <w:r>
        <w:t>IMF22 and IMF48 were analyzed by long-read Nanopore sequencing and IMF23, IMF41, IMF42 and IFM47 by short-read Miseq sequencing. Plots on the left represent the copy number of native chromosomes, while plots on the right show the NeoChrs copy number</w:t>
      </w:r>
    </w:p>
    <w:p w14:paraId="312873E9" w14:textId="40B5EF34" w:rsidR="00E65C10" w:rsidRDefault="00E65C10"/>
    <w:p w14:paraId="4CA8B301" w14:textId="4EBB0CDD" w:rsidR="007703B2" w:rsidRDefault="000364D9">
      <w:pPr>
        <w:pStyle w:val="Heading2"/>
      </w:pPr>
      <w:r>
        <w:t xml:space="preserve">Supplementary Figure </w:t>
      </w:r>
      <w:r w:rsidR="001604D9">
        <w:t xml:space="preserve">7 </w:t>
      </w:r>
      <w:r w:rsidR="00074645">
        <w:t xml:space="preserve">- Flow cytometric analysis </w:t>
      </w:r>
      <w:r w:rsidR="00ED2A67">
        <w:t>of (linear) NeoChr25 and (circular) NeoChr26</w:t>
      </w:r>
      <w:r w:rsidR="00074645">
        <w:t xml:space="preserve"> des</w:t>
      </w:r>
      <w:r w:rsidR="00FE6585">
        <w:t>igned for anthocyanin production</w:t>
      </w:r>
    </w:p>
    <w:p w14:paraId="2442B88C" w14:textId="133D4D9E" w:rsidR="00AF46DC" w:rsidRPr="00C17696" w:rsidRDefault="00074645" w:rsidP="00C17696">
      <w:pPr>
        <w:jc w:val="both"/>
      </w:pPr>
      <w:r>
        <w:t xml:space="preserve">Cells from shake flask cultures were </w:t>
      </w:r>
      <w:r w:rsidR="00993320">
        <w:t>analyzed</w:t>
      </w:r>
      <w:r>
        <w:t xml:space="preserve"> by FACS. </w:t>
      </w:r>
      <w:r w:rsidR="00AF46DC" w:rsidRPr="00193BF8">
        <w:t>The fluorescence is plotted on the y-axis and the FSC-A on the x-axis. Negative control: CEN.PK1</w:t>
      </w:r>
      <w:r w:rsidR="00AF46DC">
        <w:t>13-7D. Positive controls: IMX2224 (mRuby2), IMX2226</w:t>
      </w:r>
      <w:r w:rsidR="00AF46DC" w:rsidRPr="00193BF8">
        <w:t xml:space="preserve"> (mTurquoise2). Gates for fluorescence of the two different fluorescent protein</w:t>
      </w:r>
      <w:r w:rsidR="00AF46DC">
        <w:t xml:space="preserve">s were drawn based on the IMX2224 and IMX2226 </w:t>
      </w:r>
      <w:r w:rsidR="00AF46DC" w:rsidRPr="00193BF8">
        <w:t>controls. Approximately 10000</w:t>
      </w:r>
      <w:r w:rsidR="00AF46DC">
        <w:t xml:space="preserve"> or 100000</w:t>
      </w:r>
      <w:r w:rsidR="00AF46DC" w:rsidRPr="00193BF8">
        <w:t xml:space="preserve"> events are shown for each plot</w:t>
      </w:r>
      <w:r w:rsidR="00AF46DC">
        <w:t>.</w:t>
      </w:r>
    </w:p>
    <w:p w14:paraId="3E8A2846" w14:textId="15F0BA8D" w:rsidR="00953DAB" w:rsidRPr="00953DAB" w:rsidRDefault="00953DAB" w:rsidP="00953DAB">
      <w:pPr>
        <w:rPr>
          <w:rFonts w:asciiTheme="majorHAnsi" w:eastAsiaTheme="majorEastAsia" w:hAnsiTheme="majorHAnsi" w:cstheme="majorBidi"/>
          <w:color w:val="2E74B5" w:themeColor="accent1" w:themeShade="BF"/>
          <w:sz w:val="26"/>
          <w:szCs w:val="26"/>
        </w:rPr>
      </w:pPr>
    </w:p>
    <w:p w14:paraId="58A29155" w14:textId="18EA7E82" w:rsidR="00ED2A67" w:rsidRDefault="00FE6585" w:rsidP="00FE6585">
      <w:pPr>
        <w:pStyle w:val="Heading2"/>
      </w:pPr>
      <w:r>
        <w:lastRenderedPageBreak/>
        <w:t xml:space="preserve">Supplementary </w:t>
      </w:r>
      <w:r w:rsidRPr="00FE6585">
        <w:t>F</w:t>
      </w:r>
      <w:r w:rsidR="00ED2A67" w:rsidRPr="00FE6585">
        <w:t xml:space="preserve">igure </w:t>
      </w:r>
      <w:r w:rsidR="001604D9" w:rsidRPr="00FE6585">
        <w:t>8</w:t>
      </w:r>
      <w:r w:rsidR="00ED2A67" w:rsidRPr="00FE6585">
        <w:t xml:space="preserve"> </w:t>
      </w:r>
      <w:r w:rsidR="00074645" w:rsidRPr="00FE6585">
        <w:t xml:space="preserve">- </w:t>
      </w:r>
      <w:r w:rsidR="005A1C46" w:rsidRPr="00FE6585">
        <w:t>Separation of (linear) NeoChr25 transformants on pulsed</w:t>
      </w:r>
      <w:r>
        <w:t>-field electrophoresis.</w:t>
      </w:r>
    </w:p>
    <w:p w14:paraId="5EA4F96C" w14:textId="52564340" w:rsidR="008E3F71" w:rsidRDefault="00266638" w:rsidP="008B40C2">
      <w:pPr>
        <w:jc w:val="both"/>
      </w:pPr>
      <w:r>
        <w:rPr>
          <w:lang w:val="es-AR"/>
        </w:rPr>
        <w:t xml:space="preserve">Pulsed-field electrophoresis was used to estimate the size of NeoChr25 in several yeast transformants. </w:t>
      </w:r>
      <w:r w:rsidR="008B40C2" w:rsidRPr="00235EEE">
        <w:rPr>
          <w:lang w:val="es-AR"/>
        </w:rPr>
        <w:t xml:space="preserve">1) </w:t>
      </w:r>
      <w:r w:rsidR="00FE6585">
        <w:rPr>
          <w:lang w:val="es-AR"/>
        </w:rPr>
        <w:t>Size l</w:t>
      </w:r>
      <w:r w:rsidR="008B40C2" w:rsidRPr="00235EEE">
        <w:rPr>
          <w:lang w:val="es-AR"/>
        </w:rPr>
        <w:t>adder. 2) NeoChr25.4: correct size. 3) NeoChr25.15: no visible neochromosome. 4) NeoChr25.19: no visible neochromosome. 5)</w:t>
      </w:r>
      <w:r w:rsidR="00FE6585">
        <w:rPr>
          <w:lang w:val="es-AR"/>
        </w:rPr>
        <w:t xml:space="preserve"> </w:t>
      </w:r>
      <w:r w:rsidR="008B40C2" w:rsidRPr="00235EEE">
        <w:rPr>
          <w:lang w:val="es-AR"/>
        </w:rPr>
        <w:t xml:space="preserve">NeoChr25.23: no visible neochromosome. 6) NeoChr25.24: no visible neochromosome. 7) NeoChr25.25: correct size. </w:t>
      </w:r>
      <w:r w:rsidR="008B40C2">
        <w:t>8) NeoChr25.47: correct size. 9)</w:t>
      </w:r>
      <w:r w:rsidR="008B40C2" w:rsidRPr="008C7F5C">
        <w:t xml:space="preserve"> </w:t>
      </w:r>
      <w:r w:rsidR="008B40C2">
        <w:t>NeoChr25.53: correct size. 10)</w:t>
      </w:r>
      <w:r w:rsidR="008B40C2" w:rsidRPr="008C7F5C">
        <w:t xml:space="preserve"> </w:t>
      </w:r>
      <w:r w:rsidR="008B40C2">
        <w:t>NeoChr25.56: correct size. 11)</w:t>
      </w:r>
      <w:r w:rsidR="006A3A8B">
        <w:t xml:space="preserve"> </w:t>
      </w:r>
      <w:r w:rsidR="008B40C2">
        <w:t>NeoChr25.57: no visible neochromosome. 12)</w:t>
      </w:r>
      <w:r w:rsidR="008B40C2" w:rsidRPr="008C7F5C">
        <w:t xml:space="preserve"> </w:t>
      </w:r>
      <w:r w:rsidR="008B40C2">
        <w:t>NeoChr25.73: no visible neochromosome. 13) NeoChr25.75: correct size. 14</w:t>
      </w:r>
      <w:r w:rsidR="00FE6585">
        <w:t>) IMF22: positive control. 15) Size l</w:t>
      </w:r>
      <w:r w:rsidR="008B40C2">
        <w:t>adder</w:t>
      </w:r>
      <w:r w:rsidR="00FE6585">
        <w:t>.</w:t>
      </w:r>
    </w:p>
    <w:p w14:paraId="525ECEC2" w14:textId="77777777" w:rsidR="00C17696" w:rsidRDefault="00C17696" w:rsidP="008B40C2">
      <w:pPr>
        <w:jc w:val="both"/>
      </w:pPr>
    </w:p>
    <w:p w14:paraId="57A74A78" w14:textId="67F6E2B7" w:rsidR="00E028EB" w:rsidRDefault="00FE6585" w:rsidP="00E028EB">
      <w:r w:rsidRPr="00E028EB">
        <w:rPr>
          <w:rStyle w:val="Heading1Char"/>
        </w:rPr>
        <w:t xml:space="preserve">Supplementary </w:t>
      </w:r>
      <w:r w:rsidR="00F12743" w:rsidRPr="00E028EB">
        <w:rPr>
          <w:rStyle w:val="Heading1Char"/>
        </w:rPr>
        <w:t>F</w:t>
      </w:r>
      <w:r w:rsidRPr="00E028EB">
        <w:rPr>
          <w:rStyle w:val="Heading1Char"/>
        </w:rPr>
        <w:t xml:space="preserve">igure </w:t>
      </w:r>
      <w:r w:rsidR="001604D9" w:rsidRPr="00E028EB">
        <w:rPr>
          <w:rStyle w:val="Heading1Char"/>
        </w:rPr>
        <w:t>9</w:t>
      </w:r>
      <w:r w:rsidR="00F12743" w:rsidRPr="00E028EB">
        <w:rPr>
          <w:rStyle w:val="Heading1Char"/>
        </w:rPr>
        <w:t xml:space="preserve"> </w:t>
      </w:r>
      <w:r w:rsidR="009F0CD3" w:rsidRPr="00E028EB">
        <w:rPr>
          <w:rStyle w:val="Heading1Char"/>
        </w:rPr>
        <w:t>–</w:t>
      </w:r>
      <w:r w:rsidR="00EA3039" w:rsidRPr="00E028EB">
        <w:rPr>
          <w:rStyle w:val="Heading1Char"/>
        </w:rPr>
        <w:t xml:space="preserve"> </w:t>
      </w:r>
      <w:r w:rsidR="009F0CD3" w:rsidRPr="00E028EB">
        <w:rPr>
          <w:rStyle w:val="Heading1Char"/>
        </w:rPr>
        <w:t>Duplication and inversion of four plant genes in linear</w:t>
      </w:r>
      <w:r w:rsidR="00E028EB" w:rsidRPr="00E028EB">
        <w:rPr>
          <w:rStyle w:val="Heading1Char"/>
        </w:rPr>
        <w:t xml:space="preserve"> NeoChr25 and circular Neochr26.</w:t>
      </w:r>
    </w:p>
    <w:p w14:paraId="7201F44C" w14:textId="2AAD5BCB" w:rsidR="00E028EB" w:rsidRDefault="00EA3039" w:rsidP="00E028EB">
      <w:pPr>
        <w:jc w:val="both"/>
      </w:pPr>
      <w:r>
        <w:t>An unexpected recombination was observed upon integration of the</w:t>
      </w:r>
      <w:r w:rsidR="009F0CD3">
        <w:t xml:space="preserve"> genes encoding the</w:t>
      </w:r>
      <w:r>
        <w:t xml:space="preserve"> anthocyanin production pathway in the linear and circular NeoChrs. </w:t>
      </w:r>
      <w:r w:rsidR="005948A9">
        <w:t xml:space="preserve">A) </w:t>
      </w:r>
      <w:r>
        <w:t xml:space="preserve">Schematic representation of </w:t>
      </w:r>
      <w:r w:rsidR="00E028EB">
        <w:t>t</w:t>
      </w:r>
      <w:r w:rsidR="005948A9">
        <w:t xml:space="preserve">he </w:t>
      </w:r>
      <w:r w:rsidR="005948A9" w:rsidRPr="005948A9">
        <w:rPr>
          <w:i/>
          <w:iCs/>
        </w:rPr>
        <w:t>in silico</w:t>
      </w:r>
      <w:r w:rsidR="005948A9">
        <w:t xml:space="preserve"> design for the integration of the anthocyanin pathway in the circular NeoChr26 of IMF40 resulting in IMF41 and the linear NeoChr25 of IMF34 resulting in IMF42. B) </w:t>
      </w:r>
      <w:r w:rsidR="005D5DC0">
        <w:t xml:space="preserve">Schematic representation of the genetic organization observed in </w:t>
      </w:r>
      <w:r w:rsidR="005948A9">
        <w:t>IMF41 and IMF42</w:t>
      </w:r>
      <w:r w:rsidR="00E028EB">
        <w:t>. T</w:t>
      </w:r>
      <w:r w:rsidR="005948A9">
        <w:t>he last</w:t>
      </w:r>
      <w:r w:rsidR="005948A9" w:rsidRPr="005948A9">
        <w:t xml:space="preserve"> </w:t>
      </w:r>
      <w:r w:rsidR="005948A9">
        <w:t>four genes in the anthocyanin pathway (</w:t>
      </w:r>
      <w:r w:rsidR="00CC4AE3">
        <w:rPr>
          <w:i/>
        </w:rPr>
        <w:t>c</w:t>
      </w:r>
      <w:r w:rsidR="00555C63" w:rsidRPr="00555C63">
        <w:rPr>
          <w:i/>
        </w:rPr>
        <w:t>oAtF3H</w:t>
      </w:r>
      <w:r w:rsidR="005948A9">
        <w:t xml:space="preserve">, </w:t>
      </w:r>
      <w:r w:rsidR="00CC4AE3">
        <w:rPr>
          <w:i/>
        </w:rPr>
        <w:t>c</w:t>
      </w:r>
      <w:r w:rsidR="00555C63" w:rsidRPr="00555C63">
        <w:rPr>
          <w:i/>
        </w:rPr>
        <w:t>oGhDFR</w:t>
      </w:r>
      <w:r w:rsidR="005948A9">
        <w:t xml:space="preserve">, </w:t>
      </w:r>
      <w:r w:rsidR="00CC4AE3">
        <w:rPr>
          <w:i/>
        </w:rPr>
        <w:t>c</w:t>
      </w:r>
      <w:r w:rsidR="00555C63" w:rsidRPr="00555C63">
        <w:rPr>
          <w:i/>
        </w:rPr>
        <w:t>oAtANS</w:t>
      </w:r>
      <w:r w:rsidR="005948A9">
        <w:t xml:space="preserve"> and </w:t>
      </w:r>
      <w:r w:rsidR="00CC4AE3">
        <w:rPr>
          <w:i/>
        </w:rPr>
        <w:t>c</w:t>
      </w:r>
      <w:r w:rsidR="00555C63" w:rsidRPr="00555C63">
        <w:rPr>
          <w:i/>
        </w:rPr>
        <w:t>oAt3GT</w:t>
      </w:r>
      <w:r w:rsidR="005948A9">
        <w:t xml:space="preserve">) were duplicated and inversed, and </w:t>
      </w:r>
      <w:r w:rsidR="005948A9" w:rsidRPr="00EE1460">
        <w:rPr>
          <w:i/>
          <w:iCs/>
        </w:rPr>
        <w:t xml:space="preserve">ARS106 </w:t>
      </w:r>
      <w:r w:rsidR="005948A9">
        <w:t xml:space="preserve">was absent. </w:t>
      </w:r>
      <w:r w:rsidR="005D5DC0">
        <w:t>T</w:t>
      </w:r>
      <w:r w:rsidR="005948A9">
        <w:t xml:space="preserve">he dashed boxes </w:t>
      </w:r>
      <w:r w:rsidR="00E028EB">
        <w:t xml:space="preserve">illustrate </w:t>
      </w:r>
      <w:r w:rsidR="005948A9">
        <w:t>the</w:t>
      </w:r>
      <w:r w:rsidR="005D5DC0">
        <w:t xml:space="preserve"> recombination events that occurred on the</w:t>
      </w:r>
      <w:r w:rsidR="005948A9">
        <w:t xml:space="preserve"> left and right flank of this duplicated region.</w:t>
      </w:r>
      <w:r w:rsidR="00807095">
        <w:t xml:space="preserve"> For the left flank, there was probably an exonuclease and </w:t>
      </w:r>
      <w:r w:rsidR="00EE1460">
        <w:t>subsequent Non</w:t>
      </w:r>
      <w:r w:rsidR="00F12743">
        <w:t>-Homologous End Joining</w:t>
      </w:r>
      <w:r w:rsidR="00807095">
        <w:t xml:space="preserve"> (NHEJ) event between the two SHR CJ, since there was no homology between the inverted and non-inverted sequences</w:t>
      </w:r>
      <w:r w:rsidR="00F12743">
        <w:t xml:space="preserve">. </w:t>
      </w:r>
      <w:r w:rsidR="00807095">
        <w:t>In the sequenced IMF41 strain (circular) 57 bp of SHR CJ was retained and in the sequenced IMF42 (linear) 51 bp of SHR CJ was retained. For the right flank, in the IMF41 strain (circular) the</w:t>
      </w:r>
      <w:r w:rsidR="00807095" w:rsidRPr="00807095">
        <w:t xml:space="preserve"> first 649 bp</w:t>
      </w:r>
      <w:r w:rsidR="00807095">
        <w:t xml:space="preserve"> showed</w:t>
      </w:r>
      <w:r w:rsidR="00807095" w:rsidRPr="00807095">
        <w:t xml:space="preserve"> exact homolog</w:t>
      </w:r>
      <w:r w:rsidR="00807095">
        <w:t>y</w:t>
      </w:r>
      <w:r w:rsidR="00807095" w:rsidRPr="00807095">
        <w:t xml:space="preserve"> to </w:t>
      </w:r>
      <w:r w:rsidR="00807095" w:rsidRPr="00807095">
        <w:rPr>
          <w:i/>
          <w:iCs/>
        </w:rPr>
        <w:t>pSeFBA1</w:t>
      </w:r>
      <w:r w:rsidR="00807095">
        <w:t>, while the l</w:t>
      </w:r>
      <w:r w:rsidR="00807095" w:rsidRPr="00807095">
        <w:t>ast 414 bp</w:t>
      </w:r>
      <w:r w:rsidR="00807095">
        <w:t xml:space="preserve"> showed</w:t>
      </w:r>
      <w:r w:rsidR="00807095" w:rsidRPr="00807095">
        <w:t xml:space="preserve"> exact homology to </w:t>
      </w:r>
      <w:r w:rsidR="00807095" w:rsidRPr="00807095">
        <w:rPr>
          <w:i/>
          <w:iCs/>
        </w:rPr>
        <w:t>pScFBA1</w:t>
      </w:r>
      <w:r w:rsidR="00807095">
        <w:t xml:space="preserve"> (100</w:t>
      </w:r>
      <w:r w:rsidR="00EE1460">
        <w:t>% homology o</w:t>
      </w:r>
      <w:r w:rsidR="00807095" w:rsidRPr="00807095">
        <w:t>verlap of 7 bp</w:t>
      </w:r>
      <w:r w:rsidR="00EE1460">
        <w:t xml:space="preserve">). In the sequenced IMF42 strain (linear) the first 29 bp showed exact homology to </w:t>
      </w:r>
      <w:r w:rsidR="00EE1460">
        <w:rPr>
          <w:i/>
          <w:iCs/>
        </w:rPr>
        <w:t>pSeFBA1</w:t>
      </w:r>
      <w:r w:rsidR="00EE1460">
        <w:t xml:space="preserve"> and the last 710 bp showed exact homology to </w:t>
      </w:r>
      <w:r w:rsidR="00EE1460">
        <w:rPr>
          <w:i/>
          <w:iCs/>
        </w:rPr>
        <w:t>pSceFBA1</w:t>
      </w:r>
      <w:r w:rsidR="00EE1460">
        <w:t xml:space="preserve"> (overlap of 100% homology is 24 bp).</w:t>
      </w:r>
    </w:p>
    <w:p w14:paraId="282B7A4E" w14:textId="19326D7F" w:rsidR="0092465F" w:rsidRDefault="0092465F" w:rsidP="00E028EB">
      <w:pPr>
        <w:jc w:val="both"/>
      </w:pPr>
      <w:r>
        <w:t xml:space="preserve"> </w:t>
      </w:r>
    </w:p>
    <w:p w14:paraId="5A8FC333" w14:textId="77777777" w:rsidR="00E028EB" w:rsidRDefault="00E028EB" w:rsidP="00E028EB">
      <w:pPr>
        <w:rPr>
          <w:rStyle w:val="Heading1Char"/>
        </w:rPr>
      </w:pPr>
      <w:r w:rsidRPr="00E028EB">
        <w:rPr>
          <w:rStyle w:val="Heading1Char"/>
        </w:rPr>
        <w:t xml:space="preserve">Supplementary </w:t>
      </w:r>
      <w:r w:rsidR="001604D9" w:rsidRPr="00E028EB">
        <w:rPr>
          <w:rStyle w:val="Heading1Char"/>
        </w:rPr>
        <w:t>Figure 10</w:t>
      </w:r>
      <w:r w:rsidR="00236292" w:rsidRPr="00E028EB">
        <w:rPr>
          <w:rStyle w:val="Heading1Char"/>
        </w:rPr>
        <w:t xml:space="preserve"> –</w:t>
      </w:r>
      <w:r w:rsidR="00993320" w:rsidRPr="00E028EB">
        <w:rPr>
          <w:rStyle w:val="Heading1Char"/>
        </w:rPr>
        <w:t xml:space="preserve"> </w:t>
      </w:r>
      <w:r w:rsidR="00236292" w:rsidRPr="00E028EB">
        <w:rPr>
          <w:rStyle w:val="Heading1Char"/>
        </w:rPr>
        <w:t xml:space="preserve">schematic representation of </w:t>
      </w:r>
      <w:r w:rsidR="00555C63" w:rsidRPr="00E028EB">
        <w:rPr>
          <w:rStyle w:val="Heading1Char"/>
          <w:i/>
        </w:rPr>
        <w:t>coAtANS</w:t>
      </w:r>
      <w:r w:rsidR="001604D9" w:rsidRPr="00E028EB">
        <w:rPr>
          <w:rStyle w:val="Heading1Char"/>
          <w:i/>
        </w:rPr>
        <w:t xml:space="preserve"> </w:t>
      </w:r>
      <w:r w:rsidR="00236292" w:rsidRPr="00E028EB">
        <w:rPr>
          <w:rStyle w:val="Heading1Char"/>
        </w:rPr>
        <w:t xml:space="preserve">mutation in </w:t>
      </w:r>
      <w:r w:rsidR="00F8321C" w:rsidRPr="00E028EB">
        <w:rPr>
          <w:rStyle w:val="Heading1Char"/>
        </w:rPr>
        <w:t>strains IMF41, IMF42, IMF44 and IMF47</w:t>
      </w:r>
    </w:p>
    <w:p w14:paraId="423638EB" w14:textId="0108EFD1" w:rsidR="00F8321C" w:rsidRPr="00E028EB" w:rsidRDefault="00F8321C" w:rsidP="008115C0">
      <w:pPr>
        <w:jc w:val="both"/>
        <w:rPr>
          <w:rFonts w:asciiTheme="majorHAnsi" w:eastAsiaTheme="majorEastAsia" w:hAnsiTheme="majorHAnsi" w:cstheme="majorBidi"/>
          <w:color w:val="2E74B5" w:themeColor="accent1" w:themeShade="BF"/>
          <w:sz w:val="32"/>
          <w:szCs w:val="32"/>
        </w:rPr>
      </w:pPr>
      <w:r w:rsidRPr="00E028EB">
        <w:rPr>
          <w:b/>
        </w:rPr>
        <w:t>A)</w:t>
      </w:r>
      <w:r w:rsidRPr="00E028EB">
        <w:t xml:space="preserve"> The original </w:t>
      </w:r>
      <w:r w:rsidR="00555C63" w:rsidRPr="00E028EB">
        <w:t>coAtANS</w:t>
      </w:r>
      <w:r w:rsidRPr="00E028EB">
        <w:t xml:space="preserve"> has a length of 1071 bp and encodes for an enzyme consisting of 356 amino acids.</w:t>
      </w:r>
      <w:r w:rsidR="00E028EB">
        <w:t xml:space="preserve"> </w:t>
      </w:r>
      <w:r w:rsidRPr="00E028EB">
        <w:rPr>
          <w:b/>
        </w:rPr>
        <w:t>B)</w:t>
      </w:r>
      <w:r w:rsidRPr="00E028EB">
        <w:t xml:space="preserve"> </w:t>
      </w:r>
      <w:r w:rsidR="003B443B" w:rsidRPr="00E028EB">
        <w:t xml:space="preserve">In strains IMF41, IMF42, IMF44 and IMF47,  </w:t>
      </w:r>
      <w:r w:rsidRPr="00E028EB">
        <w:t xml:space="preserve">21 </w:t>
      </w:r>
      <w:r w:rsidR="006C7CEE" w:rsidRPr="00E028EB">
        <w:t>nucleotides of</w:t>
      </w:r>
      <w:r w:rsidRPr="00E028EB">
        <w:t xml:space="preserve"> non-homologous DNA (indicated in grey) together with 25 of the first 26 nucleotides of the </w:t>
      </w:r>
      <w:r w:rsidR="00555C63" w:rsidRPr="00E028EB">
        <w:rPr>
          <w:i/>
        </w:rPr>
        <w:t>coAtANS</w:t>
      </w:r>
      <w:r w:rsidRPr="00E028EB">
        <w:t xml:space="preserve"> gene (indicated in dark green) were inserted right after the 26th nucleotide.</w:t>
      </w:r>
      <w:r w:rsidR="00E028EB">
        <w:t xml:space="preserve"> </w:t>
      </w:r>
      <w:r w:rsidRPr="00E028EB">
        <w:rPr>
          <w:b/>
        </w:rPr>
        <w:t>C)</w:t>
      </w:r>
      <w:r w:rsidRPr="00E028EB">
        <w:t xml:space="preserve"> This </w:t>
      </w:r>
      <w:r w:rsidR="003B443B" w:rsidRPr="00E028EB">
        <w:t xml:space="preserve">insertion </w:t>
      </w:r>
      <w:r w:rsidRPr="00E028EB">
        <w:t xml:space="preserve">resulted in a total insertion of 46 nucleotides disrupting the original ORF. However, this also resulted in a new ORF starting from the 284th nucleotide. </w:t>
      </w:r>
      <w:r w:rsidRPr="00E028EB">
        <w:rPr>
          <w:b/>
        </w:rPr>
        <w:t>D)</w:t>
      </w:r>
      <w:r w:rsidRPr="00E028EB">
        <w:t xml:space="preserve"> The new ORF of the truncated </w:t>
      </w:r>
      <w:r w:rsidR="00555C63" w:rsidRPr="00E028EB">
        <w:t>coAtANS</w:t>
      </w:r>
      <w:r w:rsidRPr="00E028EB">
        <w:t xml:space="preserve"> has a length of 834 bp and encodes for an enzyme consisting of 277 amino acids.</w:t>
      </w:r>
      <w:r>
        <w:t xml:space="preserve"> </w:t>
      </w:r>
    </w:p>
    <w:p w14:paraId="62EAA4D7" w14:textId="77777777" w:rsidR="00EE70CF" w:rsidRPr="00F8321C" w:rsidRDefault="00EE70CF" w:rsidP="00F8321C">
      <w:pPr>
        <w:jc w:val="both"/>
      </w:pPr>
    </w:p>
    <w:p w14:paraId="41986C89" w14:textId="37F72552" w:rsidR="008115C0" w:rsidRDefault="008115C0" w:rsidP="008115C0">
      <w:pPr>
        <w:pStyle w:val="Heading2"/>
      </w:pPr>
      <w:r>
        <w:lastRenderedPageBreak/>
        <w:t xml:space="preserve">Supplementary </w:t>
      </w:r>
      <w:r w:rsidR="00445DB8">
        <w:t xml:space="preserve">Figure </w:t>
      </w:r>
      <w:r w:rsidR="00651864">
        <w:t>1</w:t>
      </w:r>
      <w:r w:rsidR="001604D9">
        <w:t>1</w:t>
      </w:r>
      <w:r w:rsidR="002542AF">
        <w:t xml:space="preserve"> </w:t>
      </w:r>
      <w:r>
        <w:t xml:space="preserve">- </w:t>
      </w:r>
      <w:r w:rsidR="007E556B">
        <w:t>S</w:t>
      </w:r>
      <w:r w:rsidR="007E556B" w:rsidRPr="00993320">
        <w:t xml:space="preserve">ubstrates and products profiles during </w:t>
      </w:r>
      <w:r w:rsidR="002542AF" w:rsidRPr="009F72DE">
        <w:t xml:space="preserve">aerobic batch cultivation in bioreactors of </w:t>
      </w:r>
      <w:r w:rsidR="007E556B" w:rsidRPr="0056296D">
        <w:t>IMF41, IMF42 and IMF48</w:t>
      </w:r>
      <w:r w:rsidR="002542AF">
        <w:t xml:space="preserve">. </w:t>
      </w:r>
    </w:p>
    <w:p w14:paraId="48DD4815" w14:textId="706A85B5" w:rsidR="00D429F2" w:rsidRPr="008115C0" w:rsidRDefault="004821C5" w:rsidP="008115C0">
      <w:pPr>
        <w:jc w:val="both"/>
        <w:rPr>
          <w:rFonts w:cstheme="majorBidi"/>
        </w:rPr>
      </w:pPr>
      <w:r w:rsidRPr="008115C0">
        <w:rPr>
          <w:b/>
        </w:rPr>
        <w:t>A)</w:t>
      </w:r>
      <w:r>
        <w:t xml:space="preserve"> </w:t>
      </w:r>
      <w:r w:rsidR="002542AF">
        <w:t>IMF41</w:t>
      </w:r>
      <w:r w:rsidR="00FD2E91">
        <w:t xml:space="preserve"> (Cir, 1x </w:t>
      </w:r>
      <w:r w:rsidR="00FD2E91">
        <w:rPr>
          <w:i/>
        </w:rPr>
        <w:t>coAtCHS3</w:t>
      </w:r>
      <w:r w:rsidR="00FD2E91">
        <w:t>)</w:t>
      </w:r>
      <w:r w:rsidR="007E556B">
        <w:t xml:space="preserve">, </w:t>
      </w:r>
      <w:r w:rsidRPr="008115C0">
        <w:rPr>
          <w:b/>
        </w:rPr>
        <w:t>B)</w:t>
      </w:r>
      <w:r>
        <w:t xml:space="preserve"> </w:t>
      </w:r>
      <w:r w:rsidR="002542AF">
        <w:t xml:space="preserve">IMF42 </w:t>
      </w:r>
      <w:r w:rsidR="00FD2E91">
        <w:t xml:space="preserve">(Lin, 1x </w:t>
      </w:r>
      <w:r w:rsidR="00FD2E91">
        <w:rPr>
          <w:i/>
        </w:rPr>
        <w:t>coAtCHS3</w:t>
      </w:r>
      <w:r w:rsidR="00FD2E91">
        <w:t xml:space="preserve">), </w:t>
      </w:r>
      <w:r w:rsidR="007E556B">
        <w:t xml:space="preserve">and </w:t>
      </w:r>
      <w:r w:rsidRPr="008115C0">
        <w:rPr>
          <w:b/>
        </w:rPr>
        <w:t>C)</w:t>
      </w:r>
      <w:r>
        <w:t xml:space="preserve"> </w:t>
      </w:r>
      <w:r w:rsidR="007E556B">
        <w:t xml:space="preserve">IMF48 </w:t>
      </w:r>
      <w:r w:rsidR="00FD2E91">
        <w:t xml:space="preserve">(Lin, 9x </w:t>
      </w:r>
      <w:r w:rsidR="00FD2E91">
        <w:rPr>
          <w:i/>
        </w:rPr>
        <w:t>coAtCHS3, coAtANS</w:t>
      </w:r>
      <w:r w:rsidR="00FD2E91">
        <w:t xml:space="preserve">), </w:t>
      </w:r>
      <w:r w:rsidR="007C2E85">
        <w:t xml:space="preserve">were </w:t>
      </w:r>
      <w:r w:rsidR="002542AF">
        <w:t xml:space="preserve">grown </w:t>
      </w:r>
      <w:r w:rsidR="00D429F2">
        <w:t>at 30</w:t>
      </w:r>
      <w:r w:rsidR="00D429F2" w:rsidRPr="00D429F2">
        <w:t>°</w:t>
      </w:r>
      <w:r w:rsidR="00D429F2">
        <w:t xml:space="preserve">C </w:t>
      </w:r>
      <w:r w:rsidR="002542AF">
        <w:t xml:space="preserve">in aerobic batch cultures in bioreactors, in chemically defined medium with </w:t>
      </w:r>
      <w:r w:rsidR="00D429F2">
        <w:t xml:space="preserve">20 g </w:t>
      </w:r>
      <w:r w:rsidR="00D429F2" w:rsidRPr="00D429F2">
        <w:t>L</w:t>
      </w:r>
      <w:r w:rsidR="00D429F2" w:rsidRPr="007106BC">
        <w:rPr>
          <w:vertAlign w:val="superscript"/>
        </w:rPr>
        <w:t>-</w:t>
      </w:r>
      <w:r w:rsidR="00D429F2">
        <w:rPr>
          <w:vertAlign w:val="superscript"/>
        </w:rPr>
        <w:t xml:space="preserve">1 </w:t>
      </w:r>
      <w:r w:rsidR="002542AF" w:rsidRPr="00D429F2">
        <w:t xml:space="preserve">glucose </w:t>
      </w:r>
      <w:r w:rsidR="002542AF">
        <w:t xml:space="preserve">as sole carbon source (SMD). Biological duplicates were performed </w:t>
      </w:r>
      <w:r w:rsidR="007C2E85">
        <w:t>and are shown</w:t>
      </w:r>
      <w:r w:rsidR="00D429F2">
        <w:t xml:space="preserve"> in two columns</w:t>
      </w:r>
      <w:r w:rsidR="00567875">
        <w:t xml:space="preserve"> as #1 and #2</w:t>
      </w:r>
      <w:r w:rsidR="007C2E85">
        <w:t>.</w:t>
      </w:r>
      <w:r w:rsidR="002542AF">
        <w:t xml:space="preserve">  </w:t>
      </w:r>
    </w:p>
    <w:p w14:paraId="160609B2" w14:textId="7AC3CB27" w:rsidR="00D429F2" w:rsidRDefault="00D429F2" w:rsidP="002542AF">
      <w:pPr>
        <w:spacing w:after="0" w:line="276" w:lineRule="auto"/>
        <w:jc w:val="both"/>
        <w:rPr>
          <w:rFonts w:cstheme="minorHAnsi"/>
        </w:rPr>
      </w:pPr>
      <w:r>
        <w:rPr>
          <w:rFonts w:cstheme="minorHAnsi"/>
        </w:rPr>
        <w:t xml:space="preserve">Row 1) </w:t>
      </w:r>
      <w:r w:rsidR="002542AF" w:rsidRPr="00A03915">
        <w:rPr>
          <w:rFonts w:ascii="Arial" w:eastAsia="STIXGeneral-Regular" w:hAnsi="Arial" w:cs="Arial"/>
        </w:rPr>
        <w:t>■</w:t>
      </w:r>
      <w:r w:rsidR="002542AF" w:rsidRPr="00A03915">
        <w:rPr>
          <w:rFonts w:eastAsia="STIXGeneral-Regular" w:cstheme="minorHAnsi"/>
        </w:rPr>
        <w:t xml:space="preserve"> </w:t>
      </w:r>
      <w:r w:rsidR="002542AF">
        <w:rPr>
          <w:rFonts w:eastAsia="STIXGeneral-Regular" w:cstheme="minorHAnsi"/>
        </w:rPr>
        <w:t>CDW ( g L</w:t>
      </w:r>
      <w:r w:rsidR="002542AF">
        <w:rPr>
          <w:rFonts w:eastAsia="STIXGeneral-Regular" w:cstheme="minorHAnsi"/>
          <w:vertAlign w:val="superscript"/>
        </w:rPr>
        <w:t>-1</w:t>
      </w:r>
      <w:r w:rsidR="002542AF">
        <w:rPr>
          <w:rFonts w:eastAsia="STIXGeneral-Regular" w:cstheme="minorHAnsi"/>
        </w:rPr>
        <w:t>),</w:t>
      </w:r>
      <w:r w:rsidR="002542AF" w:rsidRPr="004A6C31">
        <w:rPr>
          <w:rFonts w:cstheme="minorHAnsi"/>
          <w:color w:val="0000FF"/>
        </w:rPr>
        <w:t xml:space="preserve"> </w:t>
      </w:r>
      <w:r w:rsidR="002542AF" w:rsidRPr="00A03915">
        <w:rPr>
          <w:rFonts w:cstheme="minorHAnsi"/>
        </w:rPr>
        <w:t xml:space="preserve">○ </w:t>
      </w:r>
      <w:r w:rsidR="002542AF">
        <w:rPr>
          <w:rFonts w:cstheme="minorHAnsi"/>
        </w:rPr>
        <w:t>G</w:t>
      </w:r>
      <w:r w:rsidR="002542AF" w:rsidRPr="00A03915">
        <w:rPr>
          <w:rFonts w:cstheme="minorHAnsi"/>
        </w:rPr>
        <w:t>lucose</w:t>
      </w:r>
      <w:r w:rsidR="007106BC">
        <w:rPr>
          <w:rFonts w:cstheme="minorHAnsi"/>
        </w:rPr>
        <w:t xml:space="preserve"> (mM),</w:t>
      </w:r>
      <w:r w:rsidR="002542AF" w:rsidRPr="00A03915">
        <w:rPr>
          <w:rFonts w:cstheme="minorHAnsi"/>
        </w:rPr>
        <w:t xml:space="preserve"> </w:t>
      </w:r>
      <w:r w:rsidR="002542AF" w:rsidRPr="00A03915">
        <w:rPr>
          <w:rFonts w:cstheme="minorHAnsi"/>
          <w:color w:val="00B050"/>
        </w:rPr>
        <w:t>●</w:t>
      </w:r>
      <w:r w:rsidR="002542AF" w:rsidRPr="00A03915">
        <w:rPr>
          <w:rFonts w:cstheme="minorHAnsi"/>
        </w:rPr>
        <w:t xml:space="preserve"> </w:t>
      </w:r>
      <w:r w:rsidR="002542AF">
        <w:rPr>
          <w:rFonts w:cstheme="minorHAnsi"/>
        </w:rPr>
        <w:t>EtOH</w:t>
      </w:r>
      <w:r w:rsidR="007106BC">
        <w:rPr>
          <w:rFonts w:cstheme="minorHAnsi"/>
        </w:rPr>
        <w:t xml:space="preserve"> (mM)</w:t>
      </w:r>
      <w:r w:rsidR="002542AF">
        <w:rPr>
          <w:rFonts w:cstheme="minorHAnsi"/>
        </w:rPr>
        <w:t>,</w:t>
      </w:r>
      <w:r w:rsidR="002542AF" w:rsidRPr="00A03915">
        <w:rPr>
          <w:rFonts w:ascii="CharisSIL" w:eastAsia="CharisSIL" w:cs="CharisSIL"/>
          <w:sz w:val="14"/>
          <w:szCs w:val="14"/>
        </w:rPr>
        <w:t xml:space="preserve"> </w:t>
      </w:r>
      <w:r w:rsidR="002542AF" w:rsidRPr="004A6C31">
        <w:rPr>
          <w:rFonts w:cstheme="minorHAnsi"/>
          <w:color w:val="0000FF"/>
        </w:rPr>
        <w:sym w:font="Wingdings 3" w:char="F082"/>
      </w:r>
      <w:r w:rsidR="002542AF">
        <w:rPr>
          <w:rFonts w:cstheme="minorHAnsi"/>
          <w:color w:val="0000FF"/>
        </w:rPr>
        <w:t xml:space="preserve"> </w:t>
      </w:r>
      <w:r w:rsidR="002542AF" w:rsidRPr="004A6C31">
        <w:rPr>
          <w:rFonts w:cstheme="minorHAnsi"/>
          <w:color w:val="000000" w:themeColor="text1"/>
        </w:rPr>
        <w:t>PYR</w:t>
      </w:r>
      <w:r w:rsidR="007106BC">
        <w:rPr>
          <w:rFonts w:cstheme="minorHAnsi"/>
          <w:color w:val="000000" w:themeColor="text1"/>
        </w:rPr>
        <w:t xml:space="preserve"> </w:t>
      </w:r>
      <w:r w:rsidR="007106BC">
        <w:rPr>
          <w:rFonts w:cstheme="minorHAnsi"/>
        </w:rPr>
        <w:t>(mM)</w:t>
      </w:r>
      <w:r w:rsidR="002542AF">
        <w:rPr>
          <w:rFonts w:cstheme="minorHAnsi"/>
          <w:color w:val="000000" w:themeColor="text1"/>
        </w:rPr>
        <w:t>,</w:t>
      </w:r>
      <w:r w:rsidR="002542AF">
        <w:rPr>
          <w:rFonts w:eastAsia="STIXGeneral-Regular" w:cstheme="minorHAnsi"/>
        </w:rPr>
        <w:t xml:space="preserve"> </w:t>
      </w:r>
      <w:r w:rsidR="00E35C2E" w:rsidRPr="00E35C2E">
        <w:rPr>
          <w:rFonts w:ascii="Cambria Math" w:hAnsi="Cambria Math" w:cs="Cambria Math"/>
          <w:color w:val="FF0000"/>
        </w:rPr>
        <w:t>△</w:t>
      </w:r>
      <w:r w:rsidR="002542AF">
        <w:rPr>
          <w:rFonts w:cstheme="minorHAnsi"/>
        </w:rPr>
        <w:t xml:space="preserve"> Glyc</w:t>
      </w:r>
      <w:r>
        <w:rPr>
          <w:rFonts w:cstheme="minorHAnsi"/>
        </w:rPr>
        <w:t xml:space="preserve"> (mM)</w:t>
      </w:r>
    </w:p>
    <w:p w14:paraId="51054A60" w14:textId="5C0CBCB0" w:rsidR="00D429F2" w:rsidRDefault="00D429F2" w:rsidP="002542AF">
      <w:pPr>
        <w:spacing w:after="0" w:line="276" w:lineRule="auto"/>
        <w:jc w:val="both"/>
        <w:rPr>
          <w:rFonts w:cstheme="minorHAnsi"/>
        </w:rPr>
      </w:pPr>
      <w:r>
        <w:rPr>
          <w:rFonts w:cstheme="minorHAnsi"/>
        </w:rPr>
        <w:t xml:space="preserve">Row 2) </w:t>
      </w:r>
      <w:r w:rsidR="002542AF" w:rsidRPr="00E35C2E">
        <w:rPr>
          <w:rFonts w:ascii="Arial" w:eastAsia="STIXGeneral-Regular" w:hAnsi="Arial" w:cs="Arial"/>
          <w:color w:val="0070C0"/>
        </w:rPr>
        <w:t>■</w:t>
      </w:r>
      <w:r w:rsidR="002542AF" w:rsidRPr="00701946">
        <w:rPr>
          <w:rFonts w:eastAsia="STIXGeneral-Regular" w:cstheme="minorHAnsi"/>
          <w:color w:val="0070C0"/>
        </w:rPr>
        <w:t xml:space="preserve"> </w:t>
      </w:r>
      <w:r w:rsidR="002542AF">
        <w:rPr>
          <w:rFonts w:eastAsia="STIXGeneral-Regular" w:cstheme="minorHAnsi"/>
        </w:rPr>
        <w:t>PPY</w:t>
      </w:r>
      <w:r w:rsidR="007106BC">
        <w:rPr>
          <w:rFonts w:eastAsia="STIXGeneral-Regular" w:cstheme="minorHAnsi"/>
        </w:rPr>
        <w:t xml:space="preserve"> </w:t>
      </w:r>
      <w:r w:rsidR="007106BC">
        <w:rPr>
          <w:rFonts w:cstheme="minorHAnsi"/>
        </w:rPr>
        <w:t>(mM)</w:t>
      </w:r>
      <w:r w:rsidR="002542AF">
        <w:rPr>
          <w:rFonts w:eastAsia="STIXGeneral-Regular" w:cstheme="minorHAnsi"/>
        </w:rPr>
        <w:t>,</w:t>
      </w:r>
      <w:r w:rsidR="002542AF" w:rsidRPr="00701946">
        <w:rPr>
          <w:rFonts w:cstheme="minorHAnsi"/>
          <w:color w:val="FF0000"/>
        </w:rPr>
        <w:t xml:space="preserve"> </w:t>
      </w:r>
      <w:r w:rsidR="002542AF" w:rsidRPr="00E35C2E">
        <w:rPr>
          <w:rFonts w:cstheme="minorHAnsi"/>
          <w:color w:val="7F7F7F" w:themeColor="text1" w:themeTint="80"/>
        </w:rPr>
        <w:sym w:font="Wingdings 3" w:char="F081"/>
      </w:r>
      <w:r w:rsidR="002542AF">
        <w:rPr>
          <w:rFonts w:cstheme="minorHAnsi"/>
          <w:color w:val="000000" w:themeColor="text1"/>
        </w:rPr>
        <w:t xml:space="preserve"> COUM</w:t>
      </w:r>
      <w:r w:rsidR="007106BC">
        <w:rPr>
          <w:rFonts w:cstheme="minorHAnsi"/>
          <w:color w:val="000000" w:themeColor="text1"/>
        </w:rPr>
        <w:t xml:space="preserve"> </w:t>
      </w:r>
      <w:r w:rsidR="007106BC">
        <w:rPr>
          <w:rFonts w:cstheme="minorHAnsi"/>
        </w:rPr>
        <w:t>(mM)</w:t>
      </w:r>
      <w:r w:rsidR="002542AF">
        <w:rPr>
          <w:rFonts w:cstheme="minorHAnsi"/>
          <w:color w:val="000000" w:themeColor="text1"/>
        </w:rPr>
        <w:t xml:space="preserve">, </w:t>
      </w:r>
      <w:r w:rsidR="002542AF" w:rsidRPr="00E35C2E">
        <w:rPr>
          <w:rFonts w:cstheme="minorHAnsi"/>
          <w:color w:val="9CC2E5" w:themeColor="accent1" w:themeTint="99"/>
        </w:rPr>
        <w:t>●</w:t>
      </w:r>
      <w:r w:rsidR="002542AF">
        <w:rPr>
          <w:rFonts w:cstheme="minorHAnsi"/>
          <w:color w:val="C00000"/>
        </w:rPr>
        <w:t xml:space="preserve"> </w:t>
      </w:r>
      <w:r w:rsidR="002542AF">
        <w:rPr>
          <w:rFonts w:cstheme="minorHAnsi"/>
        </w:rPr>
        <w:t>Phlor</w:t>
      </w:r>
      <w:r w:rsidR="007106BC">
        <w:rPr>
          <w:rFonts w:cstheme="minorHAnsi"/>
        </w:rPr>
        <w:t xml:space="preserve"> (mM)</w:t>
      </w:r>
      <w:r w:rsidR="002542AF">
        <w:rPr>
          <w:rFonts w:cstheme="minorHAnsi"/>
        </w:rPr>
        <w:t xml:space="preserve">, </w:t>
      </w:r>
      <w:r w:rsidR="00E35C2E">
        <w:rPr>
          <w:rFonts w:cstheme="minorHAnsi"/>
        </w:rPr>
        <w:t xml:space="preserve"> </w:t>
      </w:r>
      <w:r w:rsidR="00E35C2E" w:rsidRPr="00E35C2E">
        <w:rPr>
          <w:rFonts w:cstheme="minorHAnsi"/>
          <w:color w:val="00B050"/>
        </w:rPr>
        <w:sym w:font="Wingdings 3" w:char="F082"/>
      </w:r>
      <w:r w:rsidR="00E35C2E" w:rsidRPr="00701946">
        <w:rPr>
          <w:rFonts w:cstheme="minorHAnsi"/>
          <w:i/>
        </w:rPr>
        <w:t xml:space="preserve"> </w:t>
      </w:r>
      <w:r w:rsidR="00E35C2E" w:rsidRPr="00A03915">
        <w:rPr>
          <w:rFonts w:cstheme="minorHAnsi"/>
          <w:i/>
        </w:rPr>
        <w:t>p</w:t>
      </w:r>
      <w:r w:rsidR="00E35C2E">
        <w:rPr>
          <w:rFonts w:cstheme="minorHAnsi"/>
        </w:rPr>
        <w:t xml:space="preserve">OH2PE </w:t>
      </w:r>
      <w:r>
        <w:rPr>
          <w:rFonts w:cstheme="minorHAnsi"/>
        </w:rPr>
        <w:t>(mM)</w:t>
      </w:r>
    </w:p>
    <w:p w14:paraId="787E0FE5" w14:textId="0921BE14" w:rsidR="00077196" w:rsidRPr="00701946" w:rsidRDefault="00D429F2" w:rsidP="002542AF">
      <w:pPr>
        <w:spacing w:after="0" w:line="276" w:lineRule="auto"/>
        <w:jc w:val="both"/>
        <w:rPr>
          <w:rFonts w:cstheme="minorHAnsi"/>
        </w:rPr>
      </w:pPr>
      <w:r>
        <w:rPr>
          <w:rFonts w:cstheme="minorHAnsi"/>
        </w:rPr>
        <w:t xml:space="preserve">Row 3) </w:t>
      </w:r>
      <w:r w:rsidRPr="00D429F2">
        <w:rPr>
          <w:rFonts w:ascii="Arial" w:eastAsia="STIXGeneral-Regular" w:hAnsi="Arial" w:cs="Arial"/>
          <w:color w:val="FF00FF"/>
        </w:rPr>
        <w:t>■</w:t>
      </w:r>
      <w:r w:rsidR="00E35C2E" w:rsidRPr="00D429F2">
        <w:rPr>
          <w:rFonts w:cstheme="minorHAnsi"/>
          <w:color w:val="FF00FF"/>
        </w:rPr>
        <w:t xml:space="preserve"> </w:t>
      </w:r>
      <w:r>
        <w:rPr>
          <w:rFonts w:cstheme="minorHAnsi"/>
        </w:rPr>
        <w:t>DHK</w:t>
      </w:r>
      <w:r w:rsidR="007106BC">
        <w:rPr>
          <w:rFonts w:cstheme="minorHAnsi"/>
        </w:rPr>
        <w:t xml:space="preserve"> (mM)</w:t>
      </w:r>
      <w:r>
        <w:rPr>
          <w:rFonts w:cstheme="minorHAnsi"/>
        </w:rPr>
        <w:t xml:space="preserve">, </w:t>
      </w:r>
      <w:r w:rsidRPr="00D429F2">
        <w:rPr>
          <w:rFonts w:cstheme="minorHAnsi"/>
          <w:color w:val="C00000"/>
        </w:rPr>
        <w:sym w:font="Wingdings 3" w:char="F081"/>
      </w:r>
      <w:r>
        <w:rPr>
          <w:rFonts w:cstheme="minorHAnsi"/>
          <w:color w:val="7F7F7F" w:themeColor="text1" w:themeTint="80"/>
        </w:rPr>
        <w:t xml:space="preserve"> </w:t>
      </w:r>
      <w:r w:rsidRPr="00D429F2">
        <w:rPr>
          <w:rFonts w:cstheme="minorHAnsi"/>
          <w:color w:val="000000" w:themeColor="text1"/>
        </w:rPr>
        <w:t>PEL</w:t>
      </w:r>
      <w:r w:rsidR="007106BC">
        <w:rPr>
          <w:rFonts w:cstheme="minorHAnsi"/>
          <w:color w:val="000000" w:themeColor="text1"/>
        </w:rPr>
        <w:t xml:space="preserve"> </w:t>
      </w:r>
      <w:r w:rsidR="007106BC">
        <w:rPr>
          <w:rFonts w:cstheme="minorHAnsi"/>
        </w:rPr>
        <w:t>(mM)</w:t>
      </w:r>
      <w:r w:rsidRPr="00D429F2">
        <w:rPr>
          <w:rFonts w:cstheme="minorHAnsi"/>
          <w:color w:val="000000" w:themeColor="text1"/>
        </w:rPr>
        <w:t>,</w:t>
      </w:r>
      <w:r>
        <w:rPr>
          <w:rFonts w:cstheme="minorHAnsi"/>
          <w:color w:val="000000" w:themeColor="text1"/>
        </w:rPr>
        <w:t xml:space="preserve"> </w:t>
      </w:r>
      <w:r w:rsidRPr="00D429F2">
        <w:rPr>
          <w:rFonts w:ascii="Segoe UI Symbol" w:hAnsi="Segoe UI Symbol" w:cs="Segoe UI Symbol"/>
          <w:color w:val="3F6228"/>
        </w:rPr>
        <w:t>⯀</w:t>
      </w:r>
      <w:r w:rsidRPr="00D429F2">
        <w:rPr>
          <w:rFonts w:cstheme="minorHAnsi"/>
          <w:color w:val="000000" w:themeColor="text1"/>
        </w:rPr>
        <w:t xml:space="preserve"> </w:t>
      </w:r>
      <w:r>
        <w:rPr>
          <w:rFonts w:cstheme="minorHAnsi"/>
          <w:color w:val="000000" w:themeColor="text1"/>
        </w:rPr>
        <w:t>KEA</w:t>
      </w:r>
      <w:r w:rsidR="007106BC">
        <w:rPr>
          <w:rFonts w:cstheme="minorHAnsi"/>
          <w:color w:val="000000" w:themeColor="text1"/>
        </w:rPr>
        <w:t xml:space="preserve"> </w:t>
      </w:r>
      <w:r w:rsidR="007106BC">
        <w:rPr>
          <w:rFonts w:cstheme="minorHAnsi"/>
        </w:rPr>
        <w:t>(mM)</w:t>
      </w:r>
      <w:r>
        <w:rPr>
          <w:rFonts w:cstheme="minorHAnsi"/>
          <w:color w:val="000000" w:themeColor="text1"/>
        </w:rPr>
        <w:t xml:space="preserve"> </w:t>
      </w:r>
      <w:r w:rsidRPr="007106BC">
        <w:rPr>
          <w:rFonts w:cstheme="minorHAnsi"/>
          <w:b/>
          <w:color w:val="002060"/>
          <w:sz w:val="24"/>
        </w:rPr>
        <w:t>○</w:t>
      </w:r>
      <w:r w:rsidRPr="007106BC">
        <w:rPr>
          <w:rFonts w:cstheme="minorHAnsi"/>
          <w:color w:val="002060"/>
        </w:rPr>
        <w:t xml:space="preserve"> </w:t>
      </w:r>
      <w:r>
        <w:rPr>
          <w:rFonts w:cstheme="minorHAnsi"/>
        </w:rPr>
        <w:t>K3G (mM)</w:t>
      </w:r>
      <w:r w:rsidRPr="00D429F2">
        <w:rPr>
          <w:rFonts w:cstheme="minorHAnsi"/>
          <w:color w:val="000000" w:themeColor="text1"/>
        </w:rPr>
        <w:sym w:font="Wingdings 3" w:char="F082"/>
      </w:r>
      <w:r>
        <w:rPr>
          <w:rFonts w:cstheme="minorHAnsi"/>
          <w:color w:val="0000FF"/>
        </w:rPr>
        <w:t xml:space="preserve"> </w:t>
      </w:r>
      <w:r w:rsidR="0098108E">
        <w:t>P</w:t>
      </w:r>
      <w:r w:rsidR="009F60BE" w:rsidRPr="00C80306">
        <w:t>3G</w:t>
      </w:r>
      <w:r>
        <w:rPr>
          <w:rFonts w:cstheme="minorHAnsi"/>
          <w:color w:val="000000" w:themeColor="text1"/>
        </w:rPr>
        <w:t xml:space="preserve"> </w:t>
      </w:r>
      <w:r>
        <w:rPr>
          <w:rFonts w:cstheme="minorHAnsi"/>
        </w:rPr>
        <w:t>(µM)</w:t>
      </w:r>
      <w:r w:rsidRPr="00D429F2">
        <w:rPr>
          <w:rFonts w:cstheme="minorHAnsi"/>
          <w:color w:val="000000" w:themeColor="text1"/>
        </w:rPr>
        <w:t xml:space="preserve"> </w:t>
      </w:r>
    </w:p>
    <w:p w14:paraId="1717A3A8" w14:textId="6ECA3DC8" w:rsidR="002542AF" w:rsidRDefault="00E35C2E" w:rsidP="002542AF">
      <w:r>
        <w:t xml:space="preserve"> </w:t>
      </w:r>
    </w:p>
    <w:p w14:paraId="4FB7BD40" w14:textId="163E331E" w:rsidR="00E15D64" w:rsidRDefault="008115C0">
      <w:pPr>
        <w:pStyle w:val="Heading2"/>
      </w:pPr>
      <w:r>
        <w:t xml:space="preserve">Supplementary Figure </w:t>
      </w:r>
      <w:r w:rsidR="00E15D64">
        <w:t>12</w:t>
      </w:r>
      <w:r>
        <w:t xml:space="preserve"> </w:t>
      </w:r>
      <w:r w:rsidR="009C5D52">
        <w:t>–</w:t>
      </w:r>
      <w:r w:rsidR="00E15D64">
        <w:t xml:space="preserve"> Detectio</w:t>
      </w:r>
      <w:r w:rsidR="00E92CAC">
        <w:t>n</w:t>
      </w:r>
      <w:r w:rsidR="009C5D52">
        <w:t xml:space="preserve"> and quantification</w:t>
      </w:r>
      <w:r w:rsidR="00E92CAC">
        <w:t xml:space="preserve"> of pelargonidin and pelargonidin 3-O-glucoside</w:t>
      </w:r>
      <w:r w:rsidR="009F0CD3">
        <w:t xml:space="preserve"> by LC-MS</w:t>
      </w:r>
      <w:r w:rsidR="009C5D52">
        <w:t>/MS</w:t>
      </w:r>
    </w:p>
    <w:p w14:paraId="2E683C6A" w14:textId="1B1E2102" w:rsidR="00E15D64" w:rsidRPr="00E15D64" w:rsidRDefault="00E15D64" w:rsidP="00E92CAC">
      <w:pPr>
        <w:jc w:val="both"/>
      </w:pPr>
      <w:r w:rsidRPr="00E15D64">
        <w:rPr>
          <w:b/>
          <w:bCs/>
          <w:lang w:val="en-GB"/>
        </w:rPr>
        <w:t xml:space="preserve">A) </w:t>
      </w:r>
      <w:r w:rsidRPr="00E15D64">
        <w:rPr>
          <w:lang w:val="en-GB"/>
        </w:rPr>
        <w:t>Extracted ion chromatogram for the</w:t>
      </w:r>
      <w:r w:rsidR="00E92CAC">
        <w:rPr>
          <w:lang w:val="en-GB"/>
        </w:rPr>
        <w:t xml:space="preserve"> pelargonidin 3-0-glucoside (</w:t>
      </w:r>
      <w:r w:rsidRPr="00E15D64">
        <w:rPr>
          <w:lang w:val="en-GB"/>
        </w:rPr>
        <w:t>P3G</w:t>
      </w:r>
      <w:r w:rsidR="00E92CAC">
        <w:rPr>
          <w:lang w:val="en-GB"/>
        </w:rPr>
        <w:t>)</w:t>
      </w:r>
      <w:r w:rsidRPr="00E15D64">
        <w:rPr>
          <w:lang w:val="en-GB"/>
        </w:rPr>
        <w:t xml:space="preserve"> mass peak with the composition C</w:t>
      </w:r>
      <w:r w:rsidRPr="00E15D64">
        <w:rPr>
          <w:vertAlign w:val="subscript"/>
          <w:lang w:val="en-GB"/>
        </w:rPr>
        <w:t>21</w:t>
      </w:r>
      <w:r w:rsidRPr="00E15D64">
        <w:rPr>
          <w:lang w:val="en-GB"/>
        </w:rPr>
        <w:t>H</w:t>
      </w:r>
      <w:r w:rsidRPr="00E15D64">
        <w:rPr>
          <w:vertAlign w:val="subscript"/>
          <w:lang w:val="en-GB"/>
        </w:rPr>
        <w:t>21</w:t>
      </w:r>
      <w:r w:rsidRPr="00E15D64">
        <w:rPr>
          <w:lang w:val="en-GB"/>
        </w:rPr>
        <w:t>O</w:t>
      </w:r>
      <w:r w:rsidRPr="00E15D64">
        <w:rPr>
          <w:vertAlign w:val="subscript"/>
          <w:lang w:val="en-GB"/>
        </w:rPr>
        <w:t>10</w:t>
      </w:r>
      <w:r w:rsidRPr="00E15D64">
        <w:rPr>
          <w:vertAlign w:val="superscript"/>
          <w:lang w:val="en-GB"/>
        </w:rPr>
        <w:t>+</w:t>
      </w:r>
      <w:r w:rsidRPr="00E15D64">
        <w:rPr>
          <w:lang w:val="en-GB"/>
        </w:rPr>
        <w:t xml:space="preserve"> and the m/z of 433.1</w:t>
      </w:r>
      <w:r w:rsidR="00E92CAC">
        <w:rPr>
          <w:lang w:val="en-GB"/>
        </w:rPr>
        <w:t>.</w:t>
      </w:r>
      <w:r w:rsidRPr="00E15D64">
        <w:rPr>
          <w:lang w:val="en-GB"/>
        </w:rPr>
        <w:t xml:space="preserve"> Da</w:t>
      </w:r>
      <w:r w:rsidR="00E92CAC">
        <w:rPr>
          <w:lang w:val="en-GB"/>
        </w:rPr>
        <w:t>ta</w:t>
      </w:r>
      <w:r w:rsidRPr="00E15D64">
        <w:rPr>
          <w:lang w:val="en-GB"/>
        </w:rPr>
        <w:t xml:space="preserve"> sh</w:t>
      </w:r>
      <w:r w:rsidR="00E92CAC">
        <w:rPr>
          <w:lang w:val="en-GB"/>
        </w:rPr>
        <w:t>own for the cell pellet extract of IMF48 duplicate #1 (</w:t>
      </w:r>
      <w:r w:rsidR="00E92CAC" w:rsidRPr="00E92CAC">
        <w:rPr>
          <w:highlight w:val="yellow"/>
          <w:lang w:val="en-GB"/>
        </w:rPr>
        <w:t>Table 2</w:t>
      </w:r>
      <w:r w:rsidR="00E92CAC">
        <w:rPr>
          <w:lang w:val="en-GB"/>
        </w:rPr>
        <w:t xml:space="preserve">), grown in aerobic bioreactor </w:t>
      </w:r>
      <w:r w:rsidRPr="00E15D64">
        <w:rPr>
          <w:lang w:val="en-GB"/>
        </w:rPr>
        <w:t>(sample, upper trace), for a blank injection (trace in the middle) analysed just before the sample and for a synthetic P3G standard shown in the lower trace (</w:t>
      </w:r>
      <w:r w:rsidRPr="00E15D64">
        <w:t>Pelargonidin 3-</w:t>
      </w:r>
      <w:r w:rsidR="0098108E">
        <w:t>O-</w:t>
      </w:r>
      <w:r w:rsidRPr="00E15D64">
        <w:t>glucoside</w:t>
      </w:r>
      <w:r w:rsidR="00251244">
        <w:t xml:space="preserve"> chloride</w:t>
      </w:r>
      <w:r w:rsidRPr="00E15D64">
        <w:t xml:space="preserve">, Sigma Aldrich, </w:t>
      </w:r>
      <w:r w:rsidRPr="00E15D64">
        <w:rPr>
          <w:lang w:val="en-GB"/>
        </w:rPr>
        <w:t>Cat No PHL89753).</w:t>
      </w:r>
      <w:r w:rsidR="00251244">
        <w:rPr>
          <w:lang w:val="en-GB"/>
        </w:rPr>
        <w:t xml:space="preserve"> </w:t>
      </w:r>
    </w:p>
    <w:p w14:paraId="6FE279E2" w14:textId="07AA1DAA" w:rsidR="00E15D64" w:rsidRPr="00E15D64" w:rsidRDefault="00E15D64" w:rsidP="00E92CAC">
      <w:pPr>
        <w:jc w:val="both"/>
      </w:pPr>
      <w:r w:rsidRPr="00E15D64">
        <w:rPr>
          <w:b/>
          <w:bCs/>
          <w:lang w:val="en-GB"/>
        </w:rPr>
        <w:t xml:space="preserve">B) </w:t>
      </w:r>
      <w:r w:rsidRPr="00E15D64">
        <w:rPr>
          <w:lang w:val="en-GB"/>
        </w:rPr>
        <w:t>The mass spectra show the accurate mass of P3G observed in the sample (upper mass spectrum) and the standard (lower mass spectrum). No corresponding P3G peak was observed for the blank injection (spectrum in the middle) analysed before the sample.</w:t>
      </w:r>
    </w:p>
    <w:p w14:paraId="7A9509D7" w14:textId="0E4CF0EF" w:rsidR="00E92CAC" w:rsidRPr="00E15D64" w:rsidRDefault="00E15D64" w:rsidP="00E92CAC">
      <w:pPr>
        <w:jc w:val="both"/>
      </w:pPr>
      <w:r w:rsidRPr="00E15D64">
        <w:rPr>
          <w:b/>
          <w:bCs/>
          <w:lang w:val="en-GB"/>
        </w:rPr>
        <w:t xml:space="preserve">C) </w:t>
      </w:r>
      <w:r w:rsidRPr="00E15D64">
        <w:rPr>
          <w:lang w:val="en-GB"/>
        </w:rPr>
        <w:t xml:space="preserve">Extracted ion chromatogram of the </w:t>
      </w:r>
      <w:r w:rsidR="00E92CAC">
        <w:rPr>
          <w:lang w:val="en-GB"/>
        </w:rPr>
        <w:t>pelargonidin (PEL)</w:t>
      </w:r>
      <w:r w:rsidRPr="00E15D64">
        <w:rPr>
          <w:lang w:val="en-GB"/>
        </w:rPr>
        <w:t xml:space="preserve"> fragment with the composition C</w:t>
      </w:r>
      <w:r w:rsidRPr="00E15D64">
        <w:rPr>
          <w:vertAlign w:val="subscript"/>
          <w:lang w:val="en-GB"/>
        </w:rPr>
        <w:t>15</w:t>
      </w:r>
      <w:r w:rsidRPr="00E15D64">
        <w:rPr>
          <w:lang w:val="en-GB"/>
        </w:rPr>
        <w:t>H</w:t>
      </w:r>
      <w:r w:rsidRPr="00E15D64">
        <w:rPr>
          <w:vertAlign w:val="subscript"/>
          <w:lang w:val="en-GB"/>
        </w:rPr>
        <w:t>11</w:t>
      </w:r>
      <w:r w:rsidRPr="00E15D64">
        <w:rPr>
          <w:lang w:val="en-GB"/>
        </w:rPr>
        <w:t>O</w:t>
      </w:r>
      <w:r w:rsidRPr="00E15D64">
        <w:rPr>
          <w:vertAlign w:val="subscript"/>
          <w:lang w:val="en-GB"/>
        </w:rPr>
        <w:t>5</w:t>
      </w:r>
      <w:r w:rsidRPr="00E15D64">
        <w:rPr>
          <w:lang w:val="en-GB"/>
        </w:rPr>
        <w:t>+, and a m/z of 271.06 Da. The corresponding fragment was observed in the sample (upper mass spectrum) and the standard (lower mass spectrum). No corresponding P</w:t>
      </w:r>
      <w:r w:rsidR="00E92CAC">
        <w:rPr>
          <w:lang w:val="en-GB"/>
        </w:rPr>
        <w:t>EL</w:t>
      </w:r>
      <w:r w:rsidRPr="00E15D64">
        <w:rPr>
          <w:lang w:val="en-GB"/>
        </w:rPr>
        <w:t xml:space="preserve"> fragment peak was observed for the blank injection analysed just before the sample.</w:t>
      </w:r>
      <w:r w:rsidR="00E92CAC" w:rsidRPr="00E15D64">
        <w:rPr>
          <w:lang w:val="en-GB"/>
        </w:rPr>
        <w:t xml:space="preserve"> (</w:t>
      </w:r>
      <w:r w:rsidR="00E92CAC" w:rsidRPr="00E15D64">
        <w:t>Pelargonidin</w:t>
      </w:r>
      <w:r w:rsidR="00251244">
        <w:t xml:space="preserve"> chloride</w:t>
      </w:r>
      <w:r w:rsidR="00E92CAC" w:rsidRPr="00E15D64">
        <w:t xml:space="preserve">, Sigma Aldrich, </w:t>
      </w:r>
      <w:r w:rsidR="00E92CAC" w:rsidRPr="00E15D64">
        <w:rPr>
          <w:lang w:val="en-GB"/>
        </w:rPr>
        <w:t>Cat No PHL</w:t>
      </w:r>
      <w:r w:rsidR="00251244">
        <w:rPr>
          <w:lang w:val="en-GB"/>
        </w:rPr>
        <w:t>80084</w:t>
      </w:r>
      <w:r w:rsidR="00E92CAC" w:rsidRPr="00E15D64">
        <w:rPr>
          <w:lang w:val="en-GB"/>
        </w:rPr>
        <w:t>).</w:t>
      </w:r>
    </w:p>
    <w:p w14:paraId="41AC7AEE" w14:textId="30FE6EB7" w:rsidR="00E15D64" w:rsidRPr="00E15D64" w:rsidRDefault="00E15D64" w:rsidP="00E92CAC">
      <w:pPr>
        <w:jc w:val="both"/>
      </w:pPr>
      <w:r w:rsidRPr="00E15D64">
        <w:rPr>
          <w:b/>
          <w:bCs/>
          <w:lang w:val="en-GB"/>
        </w:rPr>
        <w:t xml:space="preserve">D) </w:t>
      </w:r>
      <w:r w:rsidRPr="00E15D64">
        <w:rPr>
          <w:lang w:val="en-GB"/>
        </w:rPr>
        <w:t xml:space="preserve">The spectra </w:t>
      </w:r>
      <w:r w:rsidR="00E92CAC">
        <w:rPr>
          <w:lang w:val="en-GB"/>
        </w:rPr>
        <w:t>show the accurate mass of the PEL</w:t>
      </w:r>
      <w:r w:rsidRPr="00E15D64">
        <w:rPr>
          <w:lang w:val="en-GB"/>
        </w:rPr>
        <w:t xml:space="preserve"> major fragment with the composition C</w:t>
      </w:r>
      <w:r w:rsidRPr="00E15D64">
        <w:rPr>
          <w:vertAlign w:val="subscript"/>
          <w:lang w:val="en-GB"/>
        </w:rPr>
        <w:t>15</w:t>
      </w:r>
      <w:r w:rsidRPr="00E15D64">
        <w:rPr>
          <w:lang w:val="en-GB"/>
        </w:rPr>
        <w:t>H</w:t>
      </w:r>
      <w:r w:rsidRPr="00E15D64">
        <w:rPr>
          <w:vertAlign w:val="subscript"/>
          <w:lang w:val="en-GB"/>
        </w:rPr>
        <w:t>11</w:t>
      </w:r>
      <w:r w:rsidRPr="00E15D64">
        <w:rPr>
          <w:lang w:val="en-GB"/>
        </w:rPr>
        <w:t>O</w:t>
      </w:r>
      <w:r w:rsidRPr="00E15D64">
        <w:rPr>
          <w:vertAlign w:val="subscript"/>
          <w:lang w:val="en-GB"/>
        </w:rPr>
        <w:t>5</w:t>
      </w:r>
      <w:r w:rsidRPr="00E15D64">
        <w:rPr>
          <w:vertAlign w:val="superscript"/>
          <w:lang w:val="en-GB"/>
        </w:rPr>
        <w:t>+</w:t>
      </w:r>
      <w:r w:rsidRPr="00E15D64">
        <w:rPr>
          <w:lang w:val="en-GB"/>
        </w:rPr>
        <w:t xml:space="preserve"> and a m/z of 271.06 Da, as observed for the sample (upper spectrum) and the standard (lower spectrum). No corresponding fragment mass peak was observed for the blank injection (spectrum in the middle), which was performed just before the sample.</w:t>
      </w:r>
    </w:p>
    <w:p w14:paraId="10F4D614" w14:textId="23C861CB" w:rsidR="00E15D64" w:rsidRPr="00E15D64" w:rsidRDefault="00E15D64" w:rsidP="00E92CAC">
      <w:pPr>
        <w:jc w:val="both"/>
      </w:pPr>
      <w:r w:rsidRPr="00E15D64">
        <w:rPr>
          <w:b/>
          <w:bCs/>
          <w:lang w:val="en-GB"/>
        </w:rPr>
        <w:t xml:space="preserve">E) </w:t>
      </w:r>
      <w:r w:rsidRPr="00E15D64">
        <w:rPr>
          <w:lang w:val="en-GB"/>
        </w:rPr>
        <w:t>The table summarised the chemical compositions of P3G and the major fragment of</w:t>
      </w:r>
      <w:r>
        <w:rPr>
          <w:lang w:val="en-GB"/>
        </w:rPr>
        <w:t xml:space="preserve"> pelargonidin (</w:t>
      </w:r>
      <w:r w:rsidRPr="00E15D64">
        <w:rPr>
          <w:lang w:val="en-GB"/>
        </w:rPr>
        <w:t>P</w:t>
      </w:r>
      <w:r>
        <w:rPr>
          <w:lang w:val="en-GB"/>
        </w:rPr>
        <w:t xml:space="preserve">EL) </w:t>
      </w:r>
      <w:r w:rsidRPr="00E15D64">
        <w:rPr>
          <w:lang w:val="en-GB"/>
        </w:rPr>
        <w:t>(loss of the sugar unit), the resulting theoretical m/z values, the sobered m/z values and the mass deviations (ppm). The observed mass deviations for standard and sample peaks were &lt;5 ppm compared to their theoretical m/z values.</w:t>
      </w:r>
    </w:p>
    <w:p w14:paraId="6C668DDD" w14:textId="65CBB5E1" w:rsidR="00E15D64" w:rsidRPr="00E15D64" w:rsidRDefault="00E15D64" w:rsidP="00E15D64"/>
    <w:p w14:paraId="524D7734" w14:textId="516C16CC" w:rsidR="00E15D64" w:rsidRPr="00447B3F" w:rsidRDefault="00E15D64" w:rsidP="00E15D64">
      <w:pPr>
        <w:rPr>
          <w:rFonts w:asciiTheme="majorHAnsi" w:eastAsiaTheme="majorEastAsia" w:hAnsiTheme="majorHAnsi" w:cstheme="majorBidi"/>
          <w:color w:val="2E74B5" w:themeColor="accent1" w:themeShade="BF"/>
          <w:sz w:val="26"/>
          <w:szCs w:val="26"/>
        </w:rPr>
      </w:pPr>
      <w:r>
        <w:br w:type="page"/>
      </w:r>
    </w:p>
    <w:p w14:paraId="080968F0" w14:textId="51387204" w:rsidR="00E15D64" w:rsidRPr="00E15D64" w:rsidRDefault="00E15D64" w:rsidP="00E15D64">
      <w:pPr>
        <w:sectPr w:rsidR="00E15D64" w:rsidRPr="00E15D64" w:rsidSect="00C95530">
          <w:footerReference w:type="default" r:id="rId8"/>
          <w:pgSz w:w="12240" w:h="15840"/>
          <w:pgMar w:top="1440" w:right="1440" w:bottom="1440" w:left="1440" w:header="720" w:footer="720" w:gutter="0"/>
          <w:cols w:space="720"/>
          <w:docGrid w:linePitch="360"/>
        </w:sectPr>
      </w:pPr>
    </w:p>
    <w:p w14:paraId="06E93457" w14:textId="34A25C1C" w:rsidR="00F41780" w:rsidRDefault="006007F8">
      <w:pPr>
        <w:pStyle w:val="Heading2"/>
      </w:pPr>
      <w:r>
        <w:lastRenderedPageBreak/>
        <w:t xml:space="preserve">Supplementary Table </w:t>
      </w:r>
      <w:fldSimple w:instr=" SEQ Table_S \* ARABIC ">
        <w:r w:rsidR="00BF2676">
          <w:rPr>
            <w:noProof/>
          </w:rPr>
          <w:t>1</w:t>
        </w:r>
      </w:fldSimple>
      <w:r>
        <w:rPr>
          <w:noProof/>
        </w:rPr>
        <w:t xml:space="preserve"> - </w:t>
      </w:r>
      <w:r w:rsidR="00F41780">
        <w:t xml:space="preserve">Promoter-gene-terminator combinations in the </w:t>
      </w:r>
      <w:r>
        <w:t>NeoChrs.</w:t>
      </w:r>
    </w:p>
    <w:p w14:paraId="68A4A5F4" w14:textId="0D333729" w:rsidR="004910DD" w:rsidRPr="0002707C" w:rsidRDefault="004910DD" w:rsidP="0002707C">
      <w:pPr>
        <w:jc w:val="both"/>
        <w:rPr>
          <w:rFonts w:ascii="Calibri" w:eastAsia="Calibri" w:hAnsi="Calibri" w:cs="Calibri"/>
          <w:i/>
        </w:rPr>
      </w:pPr>
      <w:r>
        <w:t>Promoters, genes or terminators originate fro</w:t>
      </w:r>
      <w:r w:rsidR="00313741">
        <w:t xml:space="preserve">m </w:t>
      </w:r>
      <w:r w:rsidR="00313741" w:rsidRPr="006007F8">
        <w:rPr>
          <w:i/>
        </w:rPr>
        <w:t>S. cerevisiae</w:t>
      </w:r>
      <w:r w:rsidR="00313741">
        <w:t xml:space="preserve"> unless indicated</w:t>
      </w:r>
      <w:r>
        <w:t xml:space="preserve"> by: </w:t>
      </w:r>
      <w:r w:rsidRPr="00EE36BB">
        <w:rPr>
          <w:i/>
        </w:rPr>
        <w:t>Ec</w:t>
      </w:r>
      <w:r>
        <w:t xml:space="preserve">= </w:t>
      </w:r>
      <w:r w:rsidR="00EE36BB">
        <w:rPr>
          <w:i/>
        </w:rPr>
        <w:t xml:space="preserve">Escherichia </w:t>
      </w:r>
      <w:r w:rsidRPr="004910DD">
        <w:rPr>
          <w:i/>
        </w:rPr>
        <w:t>coli</w:t>
      </w:r>
      <w:r w:rsidR="00EE36BB">
        <w:t xml:space="preserve">, </w:t>
      </w:r>
      <w:r w:rsidR="00EE36BB" w:rsidRPr="00EE36BB">
        <w:rPr>
          <w:i/>
        </w:rPr>
        <w:t>At</w:t>
      </w:r>
      <w:r w:rsidR="00EE36BB">
        <w:t xml:space="preserve">= </w:t>
      </w:r>
      <w:r w:rsidR="00EE36BB" w:rsidRPr="00EE36BB">
        <w:rPr>
          <w:i/>
        </w:rPr>
        <w:t>Arabidopsis thaliana</w:t>
      </w:r>
      <w:r w:rsidR="00EE36BB">
        <w:t xml:space="preserve">, </w:t>
      </w:r>
      <w:r w:rsidR="00EE36BB">
        <w:rPr>
          <w:rFonts w:ascii="Calibri" w:eastAsia="Calibri" w:hAnsi="Calibri" w:cs="Calibri"/>
          <w:i/>
        </w:rPr>
        <w:t xml:space="preserve">Rc= </w:t>
      </w:r>
      <w:r w:rsidR="00EE36BB" w:rsidRPr="00EE36BB">
        <w:rPr>
          <w:rFonts w:ascii="Calibri" w:eastAsia="Calibri" w:hAnsi="Calibri" w:cs="Calibri"/>
          <w:i/>
        </w:rPr>
        <w:t>Rhodobacter capsulatus</w:t>
      </w:r>
      <w:r w:rsidR="00EE36BB">
        <w:rPr>
          <w:rFonts w:ascii="Calibri" w:eastAsia="Calibri" w:hAnsi="Calibri" w:cs="Calibri"/>
        </w:rPr>
        <w:t>,</w:t>
      </w:r>
      <w:r w:rsidR="0002707C">
        <w:rPr>
          <w:rFonts w:ascii="Calibri" w:eastAsia="Calibri" w:hAnsi="Calibri" w:cs="Calibri"/>
        </w:rPr>
        <w:t xml:space="preserve"> </w:t>
      </w:r>
      <w:r w:rsidR="0002707C">
        <w:rPr>
          <w:rFonts w:ascii="Calibri" w:eastAsia="Calibri" w:hAnsi="Calibri" w:cs="Calibri"/>
          <w:i/>
        </w:rPr>
        <w:t>Gh=</w:t>
      </w:r>
      <w:r w:rsidR="00E614DC">
        <w:rPr>
          <w:rFonts w:ascii="Calibri" w:eastAsia="Calibri" w:hAnsi="Calibri" w:cs="Calibri"/>
        </w:rPr>
        <w:t xml:space="preserve"> </w:t>
      </w:r>
      <w:r w:rsidR="00E614DC" w:rsidRPr="00E614DC">
        <w:rPr>
          <w:rFonts w:ascii="Calibri" w:eastAsia="Calibri" w:hAnsi="Calibri" w:cs="Calibri"/>
          <w:i/>
        </w:rPr>
        <w:t>Gerbera hybrida</w:t>
      </w:r>
      <w:r w:rsidR="00EE36BB">
        <w:rPr>
          <w:rFonts w:ascii="Calibri" w:eastAsia="Calibri" w:hAnsi="Calibri" w:cs="Calibri"/>
        </w:rPr>
        <w:t xml:space="preserve"> </w:t>
      </w:r>
      <w:r w:rsidR="00EE36BB" w:rsidRPr="00EE36BB">
        <w:rPr>
          <w:rFonts w:ascii="Calibri" w:eastAsia="Calibri" w:hAnsi="Calibri" w:cs="Calibri"/>
          <w:i/>
        </w:rPr>
        <w:t>Se</w:t>
      </w:r>
      <w:r w:rsidR="00EE36BB">
        <w:rPr>
          <w:rFonts w:ascii="Calibri" w:eastAsia="Calibri" w:hAnsi="Calibri" w:cs="Calibri"/>
        </w:rPr>
        <w:t xml:space="preserve">= </w:t>
      </w:r>
      <w:r w:rsidR="00EE36BB" w:rsidRPr="00EE36BB">
        <w:rPr>
          <w:rFonts w:ascii="Calibri" w:eastAsia="Calibri" w:hAnsi="Calibri" w:cs="Calibri"/>
          <w:i/>
        </w:rPr>
        <w:t>Saccharomyces eubayanus</w:t>
      </w:r>
      <w:r w:rsidR="00EE36BB">
        <w:rPr>
          <w:rFonts w:ascii="Calibri" w:eastAsia="Calibri" w:hAnsi="Calibri" w:cs="Calibri"/>
        </w:rPr>
        <w:t xml:space="preserve">, </w:t>
      </w:r>
      <w:r w:rsidR="00EE36BB" w:rsidRPr="00EE36BB">
        <w:rPr>
          <w:rFonts w:ascii="Calibri" w:eastAsia="Calibri" w:hAnsi="Calibri" w:cs="Calibri"/>
          <w:i/>
        </w:rPr>
        <w:t>Sk</w:t>
      </w:r>
      <w:r w:rsidR="00EE36BB">
        <w:rPr>
          <w:rFonts w:ascii="Calibri" w:eastAsia="Calibri" w:hAnsi="Calibri" w:cs="Calibri"/>
        </w:rPr>
        <w:t xml:space="preserve">= </w:t>
      </w:r>
      <w:r w:rsidR="00EE36BB" w:rsidRPr="00EE36BB">
        <w:rPr>
          <w:rFonts w:ascii="Calibri" w:eastAsia="Calibri" w:hAnsi="Calibri" w:cs="Calibri"/>
          <w:i/>
        </w:rPr>
        <w:t>Saccharomyces kudriavzevii</w:t>
      </w:r>
      <w:r w:rsidR="008D649D">
        <w:rPr>
          <w:rFonts w:ascii="Calibri" w:eastAsia="Calibri" w:hAnsi="Calibri" w:cs="Calibri"/>
        </w:rPr>
        <w:t xml:space="preserve">, </w:t>
      </w:r>
      <w:r w:rsidR="008D649D">
        <w:rPr>
          <w:rFonts w:ascii="Calibri" w:eastAsia="Calibri" w:hAnsi="Calibri" w:cs="Calibri"/>
          <w:i/>
        </w:rPr>
        <w:t xml:space="preserve">co= codon optimized. </w:t>
      </w:r>
      <w:r w:rsidR="00EE36BB">
        <w:rPr>
          <w:rFonts w:ascii="Calibri" w:eastAsia="Calibri" w:hAnsi="Calibri" w:cs="Calibri"/>
        </w:rPr>
        <w:t>Watermarked</w:t>
      </w:r>
      <w:r w:rsidR="00062498">
        <w:rPr>
          <w:rFonts w:ascii="Calibri" w:eastAsia="Calibri" w:hAnsi="Calibri" w:cs="Calibri"/>
        </w:rPr>
        <w:t xml:space="preserve"> </w:t>
      </w:r>
      <w:r w:rsidR="00EE36BB" w:rsidRPr="00EE36BB">
        <w:rPr>
          <w:rFonts w:ascii="Calibri" w:eastAsia="Calibri" w:hAnsi="Calibri" w:cs="Calibri"/>
          <w:i/>
        </w:rPr>
        <w:t>S. cerevisiae</w:t>
      </w:r>
      <w:r w:rsidR="00EE36BB">
        <w:rPr>
          <w:rFonts w:ascii="Calibri" w:eastAsia="Calibri" w:hAnsi="Calibri" w:cs="Calibri"/>
        </w:rPr>
        <w:t xml:space="preserve"> genes</w:t>
      </w:r>
      <w:r w:rsidR="00062498">
        <w:rPr>
          <w:rFonts w:ascii="Calibri" w:eastAsia="Calibri" w:hAnsi="Calibri" w:cs="Calibri"/>
        </w:rPr>
        <w:fldChar w:fldCharType="begin">
          <w:fldData xml:space="preserve">PEVuZE5vdGU+PENpdGU+PEF1dGhvcj5Cb29uZWthbXA8L0F1dGhvcj48WWVhcj4yMDIwPC9ZZWFy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</w:fldData>
        </w:fldChar>
      </w:r>
      <w:r w:rsidR="00062498">
        <w:rPr>
          <w:rFonts w:ascii="Calibri" w:eastAsia="Calibri" w:hAnsi="Calibri" w:cs="Calibri"/>
        </w:rPr>
        <w:instrText xml:space="preserve"> ADDIN EN.CITE </w:instrText>
      </w:r>
      <w:r w:rsidR="00062498">
        <w:rPr>
          <w:rFonts w:ascii="Calibri" w:eastAsia="Calibri" w:hAnsi="Calibri" w:cs="Calibri"/>
        </w:rPr>
        <w:fldChar w:fldCharType="begin">
          <w:fldData xml:space="preserve">PEVuZE5vdGU+PENpdGU+PEF1dGhvcj5Cb29uZWthbXA8L0F1dGhvcj48WWVhcj4yMDIwPC9ZZWFy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</w:fldData>
        </w:fldChar>
      </w:r>
      <w:r w:rsidR="00062498">
        <w:rPr>
          <w:rFonts w:ascii="Calibri" w:eastAsia="Calibri" w:hAnsi="Calibri" w:cs="Calibri"/>
        </w:rPr>
        <w:instrText xml:space="preserve"> ADDIN EN.CITE.DATA </w:instrText>
      </w:r>
      <w:r w:rsidR="00062498">
        <w:rPr>
          <w:rFonts w:ascii="Calibri" w:eastAsia="Calibri" w:hAnsi="Calibri" w:cs="Calibri"/>
        </w:rPr>
      </w:r>
      <w:r w:rsidR="00062498">
        <w:rPr>
          <w:rFonts w:ascii="Calibri" w:eastAsia="Calibri" w:hAnsi="Calibri" w:cs="Calibri"/>
        </w:rPr>
        <w:fldChar w:fldCharType="end"/>
      </w:r>
      <w:r w:rsidR="00062498">
        <w:rPr>
          <w:rFonts w:ascii="Calibri" w:eastAsia="Calibri" w:hAnsi="Calibri" w:cs="Calibri"/>
        </w:rPr>
      </w:r>
      <w:r w:rsidR="00062498">
        <w:rPr>
          <w:rFonts w:ascii="Calibri" w:eastAsia="Calibri" w:hAnsi="Calibri" w:cs="Calibri"/>
        </w:rPr>
        <w:fldChar w:fldCharType="separate"/>
      </w:r>
      <w:r w:rsidR="00062498" w:rsidRPr="00062498">
        <w:rPr>
          <w:rFonts w:ascii="Calibri" w:eastAsia="Calibri" w:hAnsi="Calibri" w:cs="Calibri"/>
          <w:noProof/>
          <w:vertAlign w:val="superscript"/>
        </w:rPr>
        <w:t>1</w:t>
      </w:r>
      <w:r w:rsidR="00062498">
        <w:rPr>
          <w:rFonts w:ascii="Calibri" w:eastAsia="Calibri" w:hAnsi="Calibri" w:cs="Calibri"/>
        </w:rPr>
        <w:fldChar w:fldCharType="end"/>
      </w:r>
      <w:r w:rsidR="00EE36BB">
        <w:rPr>
          <w:rFonts w:ascii="Calibri" w:eastAsia="Calibri" w:hAnsi="Calibri" w:cs="Calibri"/>
        </w:rPr>
        <w:t xml:space="preserve"> are indicated with an *. </w:t>
      </w:r>
    </w:p>
    <w:p w14:paraId="15BF6483" w14:textId="1A86D1B7" w:rsidR="007F487E" w:rsidRDefault="006007F8">
      <w:pPr>
        <w:pStyle w:val="Heading2"/>
      </w:pPr>
      <w:r>
        <w:t xml:space="preserve">Supplementary </w:t>
      </w:r>
      <w:r w:rsidR="007F487E">
        <w:t xml:space="preserve">Table </w:t>
      </w:r>
      <w:fldSimple w:instr=" SEQ Table_S \* ARABIC ">
        <w:r w:rsidR="00BF2676">
          <w:rPr>
            <w:noProof/>
          </w:rPr>
          <w:t>2</w:t>
        </w:r>
      </w:fldSimple>
      <w:r w:rsidR="007F487E">
        <w:t xml:space="preserve"> </w:t>
      </w:r>
      <w:r>
        <w:t xml:space="preserve">- </w:t>
      </w:r>
      <w:r w:rsidR="007F487E">
        <w:t>Sequence fidelity of NeoChr</w:t>
      </w:r>
      <w:r w:rsidR="00E628E2">
        <w:t>s</w:t>
      </w:r>
    </w:p>
    <w:p w14:paraId="54C2740D" w14:textId="064A64C4" w:rsidR="007F487E" w:rsidRPr="007F487E" w:rsidRDefault="007F487E" w:rsidP="007F487E">
      <w:pPr>
        <w:jc w:val="both"/>
      </w:pPr>
      <w:r w:rsidRPr="00E26C5A">
        <w:t>Mutation id</w:t>
      </w:r>
      <w:r>
        <w:t>entified in the neochromosomes</w:t>
      </w:r>
      <w:r w:rsidRPr="00E26C5A">
        <w:t xml:space="preserve"> as compared</w:t>
      </w:r>
      <w:r w:rsidR="006A3A8B">
        <w:t xml:space="preserve"> to</w:t>
      </w:r>
      <w:r w:rsidRPr="00E26C5A">
        <w:t xml:space="preserve"> </w:t>
      </w:r>
      <w:r>
        <w:t xml:space="preserve">the </w:t>
      </w:r>
      <w:r w:rsidRPr="00390FF9">
        <w:rPr>
          <w:i/>
          <w:iCs/>
        </w:rPr>
        <w:t>in silico</w:t>
      </w:r>
      <w:r w:rsidRPr="00E26C5A">
        <w:t xml:space="preserve"> design and with the most relevant parental strain</w:t>
      </w:r>
      <w:r>
        <w:t>. The * indicates mutations which are the same</w:t>
      </w:r>
      <w:r w:rsidR="00257F3B">
        <w:t xml:space="preserve"> in two separate transformations and therefore</w:t>
      </w:r>
      <w:r>
        <w:t xml:space="preserve"> probably resulting from the template DNA and not </w:t>
      </w:r>
      <w:r w:rsidR="00390FF9">
        <w:t>during the</w:t>
      </w:r>
      <w:r>
        <w:t xml:space="preserve"> </w:t>
      </w:r>
      <w:r w:rsidRPr="00390FF9">
        <w:rPr>
          <w:i/>
          <w:iCs/>
        </w:rPr>
        <w:t>in vivo</w:t>
      </w:r>
      <w:r>
        <w:t xml:space="preserve"> assembly.</w:t>
      </w:r>
      <w:r w:rsidR="00A74F4A">
        <w:t xml:space="preserve"> Non-synonymous mutations are indicated in bold. </w:t>
      </w:r>
    </w:p>
    <w:p w14:paraId="5712C145" w14:textId="7A8CF4B8" w:rsidR="00191B3B" w:rsidRDefault="00DE7C8C">
      <w:pPr>
        <w:pStyle w:val="Heading2"/>
      </w:pPr>
      <w:r>
        <w:t xml:space="preserve">Supplementary </w:t>
      </w:r>
      <w:r w:rsidR="00445DB8">
        <w:t xml:space="preserve">Table </w:t>
      </w:r>
      <w:fldSimple w:instr=" SEQ Table_S \* ARABIC ">
        <w:r w:rsidR="00BF2676">
          <w:rPr>
            <w:noProof/>
          </w:rPr>
          <w:t>3</w:t>
        </w:r>
      </w:fldSimple>
      <w:r w:rsidR="00191B3B">
        <w:t xml:space="preserve"> </w:t>
      </w:r>
      <w:r>
        <w:t xml:space="preserve">-  </w:t>
      </w:r>
      <w:r w:rsidR="00191B3B">
        <w:t>Amino acid substitution in</w:t>
      </w:r>
      <w:r w:rsidR="00E628E2">
        <w:t xml:space="preserve"> native genome of NeoChr strains</w:t>
      </w:r>
    </w:p>
    <w:p w14:paraId="08BA6F47" w14:textId="4DE6AA8D" w:rsidR="00191B3B" w:rsidRPr="00191B3B" w:rsidRDefault="00191B3B" w:rsidP="00C17696">
      <w:pPr>
        <w:jc w:val="both"/>
      </w:pPr>
      <w:r w:rsidRPr="008B0F71">
        <w:t>Amino acid substitutions identified in the genome of the constructed strains as compared to most relevant parental strain.</w:t>
      </w:r>
    </w:p>
    <w:p w14:paraId="289EB07A" w14:textId="7F5710B5" w:rsidR="00F35D5A" w:rsidRPr="00CC4AE3" w:rsidRDefault="00DE7C8C">
      <w:pPr>
        <w:pStyle w:val="Heading2"/>
      </w:pPr>
      <w:r>
        <w:t xml:space="preserve">Supplementary Table </w:t>
      </w:r>
      <w:fldSimple w:instr=" SEQ Table_S \* ARABIC ">
        <w:r w:rsidR="00BF2676" w:rsidRPr="00CC4AE3">
          <w:rPr>
            <w:noProof/>
          </w:rPr>
          <w:t>4</w:t>
        </w:r>
      </w:fldSimple>
      <w:r w:rsidR="00F35D5A" w:rsidRPr="00CC4AE3">
        <w:t xml:space="preserve"> </w:t>
      </w:r>
      <w:r>
        <w:t xml:space="preserve">- </w:t>
      </w:r>
      <w:r w:rsidR="00321DB3" w:rsidRPr="00CC4AE3">
        <w:t xml:space="preserve">Extracellular </w:t>
      </w:r>
      <w:r w:rsidR="00F35D5A" w:rsidRPr="00CC4AE3">
        <w:t xml:space="preserve">concentration of aromatic compounds </w:t>
      </w:r>
      <w:r w:rsidR="00321DB3" w:rsidRPr="00CC4AE3">
        <w:t>produced by</w:t>
      </w:r>
      <w:r w:rsidR="00F35D5A" w:rsidRPr="00CC4AE3">
        <w:t xml:space="preserve"> </w:t>
      </w:r>
      <w:r w:rsidR="00924F7E" w:rsidRPr="00CC4AE3">
        <w:t xml:space="preserve">engineered </w:t>
      </w:r>
      <w:r w:rsidR="00924F7E" w:rsidRPr="00CC4AE3">
        <w:rPr>
          <w:i/>
        </w:rPr>
        <w:t>S. cerevisiae</w:t>
      </w:r>
      <w:r w:rsidR="00924F7E" w:rsidRPr="00CC4AE3">
        <w:t xml:space="preserve"> strains </w:t>
      </w:r>
      <w:r w:rsidR="00321DB3" w:rsidRPr="00CC4AE3">
        <w:t>in shake flask cultures</w:t>
      </w:r>
      <w:r w:rsidR="00F35D5A" w:rsidRPr="00CC4AE3">
        <w:t xml:space="preserve">   </w:t>
      </w:r>
    </w:p>
    <w:p w14:paraId="0CB76265" w14:textId="7F8230C2" w:rsidR="0002224F" w:rsidRPr="00A905EF" w:rsidRDefault="0002224F" w:rsidP="00C34890">
      <w:pPr>
        <w:jc w:val="both"/>
        <w:rPr>
          <w:lang w:val="en-GB"/>
        </w:rPr>
      </w:pPr>
      <w:r w:rsidRPr="00CC4AE3">
        <w:rPr>
          <w:lang w:val="en-GB"/>
        </w:rPr>
        <w:t>Determination of the intermediates of the anthocyanin</w:t>
      </w:r>
      <w:r>
        <w:rPr>
          <w:lang w:val="en-GB"/>
        </w:rPr>
        <w:t xml:space="preserve"> pathway in</w:t>
      </w:r>
      <w:r w:rsidRPr="00A516DC">
        <w:rPr>
          <w:lang w:val="en-GB"/>
        </w:rPr>
        <w:t xml:space="preserve"> </w:t>
      </w:r>
      <w:r w:rsidRPr="004447FE">
        <w:rPr>
          <w:i/>
          <w:lang w:val="en-GB"/>
        </w:rPr>
        <w:t>S. cerevisiae</w:t>
      </w:r>
      <w:r>
        <w:rPr>
          <w:lang w:val="en-GB"/>
        </w:rPr>
        <w:t xml:space="preserve"> </w:t>
      </w:r>
      <w:r w:rsidRPr="00A516DC">
        <w:rPr>
          <w:lang w:val="en-GB"/>
        </w:rPr>
        <w:t>strain</w:t>
      </w:r>
      <w:r>
        <w:rPr>
          <w:lang w:val="en-GB"/>
        </w:rPr>
        <w:t xml:space="preserve">s </w:t>
      </w:r>
      <w:r w:rsidRPr="00A516DC">
        <w:rPr>
          <w:lang w:val="en-GB"/>
        </w:rPr>
        <w:t>IM</w:t>
      </w:r>
      <w:r w:rsidR="00C34890">
        <w:rPr>
          <w:lang w:val="en-GB"/>
        </w:rPr>
        <w:t>F41 (Cir NeoChr, 1</w:t>
      </w:r>
      <w:r>
        <w:rPr>
          <w:lang w:val="en-GB"/>
        </w:rPr>
        <w:t xml:space="preserve">X </w:t>
      </w:r>
      <w:r w:rsidR="00C34890">
        <w:rPr>
          <w:i/>
          <w:lang w:val="en-GB"/>
        </w:rPr>
        <w:t>co</w:t>
      </w:r>
      <w:r w:rsidRPr="00A905EF">
        <w:rPr>
          <w:i/>
          <w:lang w:val="en-GB"/>
        </w:rPr>
        <w:t>AtCHS</w:t>
      </w:r>
      <w:r w:rsidR="00C34890">
        <w:rPr>
          <w:i/>
          <w:lang w:val="en-GB"/>
        </w:rPr>
        <w:t>3</w:t>
      </w:r>
      <w:r>
        <w:rPr>
          <w:lang w:val="en-GB"/>
        </w:rPr>
        <w:t>), IMF42 (Lin</w:t>
      </w:r>
      <w:r w:rsidR="00C34890">
        <w:rPr>
          <w:lang w:val="en-GB"/>
        </w:rPr>
        <w:t xml:space="preserve"> NeoChr</w:t>
      </w:r>
      <w:r>
        <w:rPr>
          <w:lang w:val="en-GB"/>
        </w:rPr>
        <w:t xml:space="preserve">, 1X </w:t>
      </w:r>
      <w:r w:rsidR="00C34890">
        <w:rPr>
          <w:i/>
          <w:lang w:val="en-GB"/>
        </w:rPr>
        <w:t>co</w:t>
      </w:r>
      <w:r w:rsidR="00C34890" w:rsidRPr="00A905EF">
        <w:rPr>
          <w:i/>
          <w:lang w:val="en-GB"/>
        </w:rPr>
        <w:t>AtCHS</w:t>
      </w:r>
      <w:r w:rsidR="00C34890">
        <w:rPr>
          <w:i/>
          <w:lang w:val="en-GB"/>
        </w:rPr>
        <w:t>3</w:t>
      </w:r>
      <w:r>
        <w:rPr>
          <w:lang w:val="en-GB"/>
        </w:rPr>
        <w:t>), IMF4</w:t>
      </w:r>
      <w:r w:rsidR="00C34890">
        <w:rPr>
          <w:lang w:val="en-GB"/>
        </w:rPr>
        <w:t>7 (Lin NeoChr, 9</w:t>
      </w:r>
      <w:r>
        <w:rPr>
          <w:lang w:val="en-GB"/>
        </w:rPr>
        <w:t xml:space="preserve">X </w:t>
      </w:r>
      <w:r w:rsidR="00C34890">
        <w:rPr>
          <w:i/>
          <w:lang w:val="en-GB"/>
        </w:rPr>
        <w:t>co</w:t>
      </w:r>
      <w:r w:rsidR="00C34890" w:rsidRPr="00A905EF">
        <w:rPr>
          <w:i/>
          <w:lang w:val="en-GB"/>
        </w:rPr>
        <w:t>AtCHS</w:t>
      </w:r>
      <w:r w:rsidR="00C34890">
        <w:rPr>
          <w:i/>
          <w:lang w:val="en-GB"/>
        </w:rPr>
        <w:t>3</w:t>
      </w:r>
      <w:r w:rsidR="00C34890">
        <w:rPr>
          <w:lang w:val="en-GB"/>
        </w:rPr>
        <w:t>) and IMF48 (Lin NeoChr, 9</w:t>
      </w:r>
      <w:r>
        <w:rPr>
          <w:lang w:val="en-GB"/>
        </w:rPr>
        <w:t xml:space="preserve">X </w:t>
      </w:r>
      <w:r w:rsidR="00C34890">
        <w:rPr>
          <w:i/>
          <w:lang w:val="en-GB"/>
        </w:rPr>
        <w:t>co</w:t>
      </w:r>
      <w:r w:rsidR="00C34890" w:rsidRPr="00A905EF">
        <w:rPr>
          <w:i/>
          <w:lang w:val="en-GB"/>
        </w:rPr>
        <w:t>AtCHS</w:t>
      </w:r>
      <w:r w:rsidR="00C34890">
        <w:rPr>
          <w:i/>
          <w:lang w:val="en-GB"/>
        </w:rPr>
        <w:t xml:space="preserve">3 </w:t>
      </w:r>
      <w:r w:rsidR="00C34890">
        <w:rPr>
          <w:lang w:val="en-GB"/>
        </w:rPr>
        <w:t xml:space="preserve">repaired </w:t>
      </w:r>
      <w:r w:rsidR="00555C63" w:rsidRPr="00555C63">
        <w:rPr>
          <w:i/>
          <w:lang w:val="en-GB"/>
        </w:rPr>
        <w:t>coAtANS</w:t>
      </w:r>
      <w:r w:rsidRPr="00A905EF">
        <w:rPr>
          <w:lang w:val="en-GB"/>
        </w:rPr>
        <w:t>)</w:t>
      </w:r>
      <w:r w:rsidR="00914115">
        <w:rPr>
          <w:lang w:val="en-GB"/>
        </w:rPr>
        <w:t xml:space="preserve">, grown in </w:t>
      </w:r>
      <w:r>
        <w:rPr>
          <w:lang w:val="en-GB"/>
        </w:rPr>
        <w:t xml:space="preserve">aerobic shake flask </w:t>
      </w:r>
      <w:r w:rsidRPr="00A516DC">
        <w:rPr>
          <w:lang w:val="en-GB"/>
        </w:rPr>
        <w:t>batch cultures on glucose</w:t>
      </w:r>
      <w:r>
        <w:rPr>
          <w:lang w:val="en-GB"/>
        </w:rPr>
        <w:t xml:space="preserve"> </w:t>
      </w:r>
      <w:r w:rsidR="00C34890">
        <w:rPr>
          <w:lang w:val="en-GB"/>
        </w:rPr>
        <w:t>(20 g L</w:t>
      </w:r>
      <w:r w:rsidR="00C34890">
        <w:rPr>
          <w:vertAlign w:val="superscript"/>
          <w:lang w:val="en-GB"/>
        </w:rPr>
        <w:t>-1</w:t>
      </w:r>
      <w:r w:rsidR="00C34890">
        <w:rPr>
          <w:lang w:val="en-GB"/>
        </w:rPr>
        <w:t xml:space="preserve">) </w:t>
      </w:r>
      <w:r>
        <w:rPr>
          <w:lang w:val="en-GB"/>
        </w:rPr>
        <w:t>and urea</w:t>
      </w:r>
      <w:r w:rsidRPr="00A516DC">
        <w:rPr>
          <w:lang w:val="en-GB"/>
        </w:rPr>
        <w:t>.</w:t>
      </w:r>
      <w:r>
        <w:rPr>
          <w:lang w:val="en-GB"/>
        </w:rPr>
        <w:t xml:space="preserve"> The data</w:t>
      </w:r>
      <w:r w:rsidRPr="0036777C">
        <w:rPr>
          <w:lang w:val="en-GB"/>
        </w:rPr>
        <w:t xml:space="preserve"> represents the average ± mean deviation of independent biological </w:t>
      </w:r>
      <w:r w:rsidR="00C34890">
        <w:rPr>
          <w:lang w:val="en-GB"/>
        </w:rPr>
        <w:t>tri</w:t>
      </w:r>
      <w:r>
        <w:rPr>
          <w:lang w:val="en-GB"/>
        </w:rPr>
        <w:t xml:space="preserve">plicates. </w:t>
      </w:r>
      <w:r w:rsidRPr="00F6660F">
        <w:rPr>
          <w:lang w:val="en-GB"/>
        </w:rPr>
        <w:t>Intermediates of the anthocyanin pathway coumaroyl-</w:t>
      </w:r>
      <w:r>
        <w:rPr>
          <w:lang w:val="en-GB"/>
        </w:rPr>
        <w:t>CoA, nari</w:t>
      </w:r>
      <w:r w:rsidR="0098108E">
        <w:rPr>
          <w:lang w:val="en-GB"/>
        </w:rPr>
        <w:t>n</w:t>
      </w:r>
      <w:r>
        <w:rPr>
          <w:lang w:val="en-GB"/>
        </w:rPr>
        <w:t>genin-chalcone, and leucopelargonidin were not measured.</w:t>
      </w:r>
      <w:r w:rsidR="00680E4A">
        <w:rPr>
          <w:lang w:val="en-GB"/>
        </w:rPr>
        <w:t xml:space="preserve"> * Indicates statistical significance when comparing IMF47 </w:t>
      </w:r>
      <w:r w:rsidR="00233BFA">
        <w:rPr>
          <w:lang w:val="en-GB"/>
        </w:rPr>
        <w:t>or</w:t>
      </w:r>
      <w:r w:rsidR="00680E4A">
        <w:rPr>
          <w:lang w:val="en-GB"/>
        </w:rPr>
        <w:t xml:space="preserve"> IMF48 to IMF42, and # when comparing IMF48 to IMF47 (Student </w:t>
      </w:r>
      <w:r w:rsidR="00680E4A" w:rsidRPr="00C34890">
        <w:rPr>
          <w:i/>
          <w:lang w:val="en-GB"/>
        </w:rPr>
        <w:t>t</w:t>
      </w:r>
      <w:r w:rsidR="00680E4A">
        <w:rPr>
          <w:lang w:val="en-GB"/>
        </w:rPr>
        <w:t xml:space="preserve">-test, two-tailed, homoscedastic, </w:t>
      </w:r>
      <w:r w:rsidR="00680E4A" w:rsidRPr="00C34890">
        <w:rPr>
          <w:i/>
          <w:lang w:val="en-GB"/>
        </w:rPr>
        <w:t>p</w:t>
      </w:r>
      <w:r w:rsidR="00680E4A">
        <w:rPr>
          <w:lang w:val="en-GB"/>
        </w:rPr>
        <w:t>-value threshold 0.05).</w:t>
      </w:r>
    </w:p>
    <w:p w14:paraId="7F4D31D3" w14:textId="1EF27E46" w:rsidR="00F35D5A" w:rsidRPr="00CC4AE3" w:rsidRDefault="007D6C5A">
      <w:pPr>
        <w:pStyle w:val="Heading2"/>
      </w:pPr>
      <w:r>
        <w:t xml:space="preserve">Supplementary Table </w:t>
      </w:r>
      <w:r w:rsidR="000D1C72" w:rsidRPr="00CC4AE3">
        <w:t>5</w:t>
      </w:r>
      <w:r w:rsidR="00321DB3" w:rsidRPr="00CC4AE3">
        <w:t xml:space="preserve"> </w:t>
      </w:r>
      <w:r w:rsidR="00DE7C8C">
        <w:t xml:space="preserve">- </w:t>
      </w:r>
      <w:r w:rsidR="00321DB3" w:rsidRPr="00CC4AE3">
        <w:t>Physiological characterization of anthocyanin-producing strains grown in bioreactors</w:t>
      </w:r>
    </w:p>
    <w:p w14:paraId="164B75BE" w14:textId="0F2B3D94" w:rsidR="00E8729A" w:rsidRDefault="002A1A1F" w:rsidP="00321DB3">
      <w:pPr>
        <w:spacing w:line="360" w:lineRule="auto"/>
        <w:jc w:val="both"/>
      </w:pPr>
      <w:r w:rsidRPr="00CC4AE3">
        <w:t xml:space="preserve">A) </w:t>
      </w:r>
      <w:r w:rsidR="00321DB3" w:rsidRPr="00CC4AE3">
        <w:t>The specific growth</w:t>
      </w:r>
      <w:r w:rsidR="00321DB3">
        <w:t xml:space="preserve"> rate (</w:t>
      </w:r>
      <w:r w:rsidR="00321DB3">
        <w:rPr>
          <w:rFonts w:cstheme="minorHAnsi"/>
        </w:rPr>
        <w:t>µ</w:t>
      </w:r>
      <w:r w:rsidR="00321DB3">
        <w:t>) a</w:t>
      </w:r>
      <w:r>
        <w:t>nd the yield (Y) of biomass (X) and</w:t>
      </w:r>
      <w:r w:rsidR="00321DB3">
        <w:t xml:space="preserve"> ethanol (E</w:t>
      </w:r>
      <w:r w:rsidR="00E8729A">
        <w:t>T</w:t>
      </w:r>
      <w:r w:rsidR="00321DB3">
        <w:t>OH)</w:t>
      </w:r>
      <w:r>
        <w:t xml:space="preserve"> on glucose (S)</w:t>
      </w:r>
      <w:r w:rsidR="00C34890">
        <w:t xml:space="preserve"> </w:t>
      </w:r>
    </w:p>
    <w:p w14:paraId="19DBD9D4" w14:textId="4D598A68" w:rsidR="002A1A1F" w:rsidRPr="00A84D62" w:rsidRDefault="00C34890" w:rsidP="00321DB3">
      <w:pPr>
        <w:spacing w:line="360" w:lineRule="auto"/>
        <w:jc w:val="both"/>
      </w:pPr>
      <w:r>
        <w:t>B) The overall yield (Y) of g</w:t>
      </w:r>
      <w:r w:rsidR="00E8729A">
        <w:t>lycerol (GLYC), pyruvate (PYR</w:t>
      </w:r>
      <w:r w:rsidR="00321DB3">
        <w:t>), coumaric</w:t>
      </w:r>
      <w:r>
        <w:t xml:space="preserve"> acid (COUM), phloretic acid (PHLOR</w:t>
      </w:r>
      <w:r w:rsidR="00321DB3">
        <w:t>) and dihydrokaempferol (DHK) on glucose</w:t>
      </w:r>
      <w:r>
        <w:t xml:space="preserve"> and ethanol</w:t>
      </w:r>
      <w:r w:rsidR="00321DB3">
        <w:t xml:space="preserve"> (S) during aerobic bioreactor batch cultivation of IMF41 (Cir</w:t>
      </w:r>
      <w:r>
        <w:t xml:space="preserve"> NeoChr</w:t>
      </w:r>
      <w:r w:rsidR="00321DB3">
        <w:t xml:space="preserve">, 1x </w:t>
      </w:r>
      <w:r>
        <w:rPr>
          <w:i/>
        </w:rPr>
        <w:t>co</w:t>
      </w:r>
      <w:r w:rsidR="00321DB3">
        <w:rPr>
          <w:i/>
        </w:rPr>
        <w:t>A</w:t>
      </w:r>
      <w:r w:rsidR="000A7A6D">
        <w:rPr>
          <w:i/>
        </w:rPr>
        <w:t>t</w:t>
      </w:r>
      <w:r w:rsidR="00321DB3">
        <w:rPr>
          <w:i/>
        </w:rPr>
        <w:t>CHS</w:t>
      </w:r>
      <w:r>
        <w:rPr>
          <w:i/>
        </w:rPr>
        <w:t>3</w:t>
      </w:r>
      <w:r w:rsidR="00321DB3">
        <w:t>), IMF42 (Lin</w:t>
      </w:r>
      <w:r>
        <w:t xml:space="preserve"> NeoChr</w:t>
      </w:r>
      <w:r w:rsidR="00321DB3">
        <w:t xml:space="preserve">, 1x </w:t>
      </w:r>
      <w:r>
        <w:rPr>
          <w:i/>
        </w:rPr>
        <w:t>coAtCHS3</w:t>
      </w:r>
      <w:r>
        <w:t>),</w:t>
      </w:r>
      <w:r w:rsidR="00321DB3">
        <w:t>) and IMF48 (Lin</w:t>
      </w:r>
      <w:r>
        <w:t xml:space="preserve"> NeoChr</w:t>
      </w:r>
      <w:r w:rsidR="00321DB3">
        <w:t xml:space="preserve">, 9x </w:t>
      </w:r>
      <w:r>
        <w:rPr>
          <w:i/>
        </w:rPr>
        <w:t>coAtCHS3</w:t>
      </w:r>
      <w:r>
        <w:t xml:space="preserve">, </w:t>
      </w:r>
      <w:r w:rsidR="00A15DFE">
        <w:t>repaired</w:t>
      </w:r>
      <w:r w:rsidR="00321DB3">
        <w:rPr>
          <w:i/>
        </w:rPr>
        <w:t xml:space="preserve"> </w:t>
      </w:r>
      <w:r w:rsidR="00555C63" w:rsidRPr="00555C63">
        <w:rPr>
          <w:i/>
        </w:rPr>
        <w:t>coAtANS</w:t>
      </w:r>
      <w:r w:rsidR="00A15DFE">
        <w:t>)</w:t>
      </w:r>
      <w:r w:rsidR="00321DB3">
        <w:t xml:space="preserve">. </w:t>
      </w:r>
    </w:p>
    <w:p w14:paraId="71E5AF11" w14:textId="7483F79C" w:rsidR="0095323A" w:rsidRDefault="007D6C5A">
      <w:pPr>
        <w:pStyle w:val="Heading2"/>
      </w:pPr>
      <w:r>
        <w:t xml:space="preserve">Supplementary Table </w:t>
      </w:r>
      <w:r w:rsidR="00C34D0F">
        <w:t>6</w:t>
      </w:r>
      <w:r w:rsidR="0095323A">
        <w:t xml:space="preserve"> </w:t>
      </w:r>
      <w:r w:rsidR="000B6AA4">
        <w:t xml:space="preserve">- </w:t>
      </w:r>
      <w:r w:rsidR="0095323A" w:rsidRPr="0095323A">
        <w:rPr>
          <w:i/>
        </w:rPr>
        <w:t>S. cerevisiae</w:t>
      </w:r>
      <w:r w:rsidR="0095323A">
        <w:t xml:space="preserve"> strains used in this study</w:t>
      </w:r>
    </w:p>
    <w:p w14:paraId="6F522445" w14:textId="1151CD06" w:rsidR="007828EE" w:rsidRPr="00C95530" w:rsidRDefault="0095323A" w:rsidP="00C95530">
      <w:pPr>
        <w:spacing w:after="200"/>
        <w:jc w:val="both"/>
        <w:rPr>
          <w:rFonts w:cs="Arial"/>
          <w:i/>
          <w:iCs/>
          <w:sz w:val="18"/>
          <w:szCs w:val="18"/>
        </w:rPr>
      </w:pPr>
      <w:r w:rsidRPr="00097817">
        <w:rPr>
          <w:rFonts w:eastAsia="Calibri" w:cs="Arial"/>
          <w:iCs/>
        </w:rPr>
        <w:t>Strains that were short-read or long-read sequenced in this study are marked with a *</w:t>
      </w:r>
      <w:r w:rsidRPr="00097817">
        <w:rPr>
          <w:rFonts w:eastAsia="Calibri" w:cs="Arial"/>
          <w:i/>
          <w:iCs/>
        </w:rPr>
        <w:t xml:space="preserve">. </w:t>
      </w:r>
      <w:r w:rsidRPr="00097817">
        <w:rPr>
          <w:rFonts w:eastAsia="Calibri" w:cs="Arial"/>
          <w:iCs/>
        </w:rPr>
        <w:t xml:space="preserve">SHRs are differently annotated than in Kuijpers </w:t>
      </w:r>
      <w:r w:rsidRPr="00097817">
        <w:rPr>
          <w:rFonts w:eastAsia="Calibri" w:cs="Arial"/>
          <w:i/>
          <w:iCs/>
        </w:rPr>
        <w:t xml:space="preserve">et al. </w:t>
      </w:r>
      <w:r w:rsidRPr="00097817">
        <w:rPr>
          <w:rFonts w:eastAsia="Calibri" w:cs="Arial"/>
          <w:iCs/>
        </w:rPr>
        <w:fldChar w:fldCharType="begin"/>
      </w:r>
      <w:r w:rsidR="00062498">
        <w:rPr>
          <w:rFonts w:eastAsia="Calibri" w:cs="Arial"/>
          <w:iCs/>
        </w:rPr>
        <w:instrText xml:space="preserve"> ADDIN EN.CITE &lt;EndNote&gt;&lt;Cite&gt;&lt;Author&gt;Kuijpers&lt;/Author&gt;&lt;Year&gt;2016&lt;/Year&gt;&lt;RecNum&gt;162&lt;/RecNum&gt;&lt;DisplayText&gt;&lt;style face="superscript"&gt;6&lt;/style&gt;&lt;/DisplayText&gt;&lt;record&gt;&lt;rec-number&gt;162&lt;/rec-number&gt;&lt;foreign-keys&gt;&lt;key app="EN" db-id="wwwa59wsitt02heefx35s99ya9zpwztaxfdv" timestamp="1585914256" guid="650b150d-c11b-4cbc-81b6-9ae980216cb1"&gt;162&lt;/key&gt;&lt;/foreign-keys&gt;&lt;ref-type name="Journal Article"&gt;17&lt;/ref-type&gt;&lt;contributors&gt;&lt;authors&gt;&lt;author&gt;Kuijpers, Niels GA&lt;/author&gt;&lt;author&gt;Solis-Escalante, Daniel&lt;/author&gt;&lt;author&gt;Luttik, Marijke AH&lt;/author&gt;&lt;author&gt;Bisschops, Markus MM&lt;/author&gt;&lt;author&gt;Boonekamp, Francine J&lt;/author&gt;&lt;author&gt;van den Broek, Marcel&lt;/author&gt;&lt;author&gt;Pronk, Jack T&lt;/author&gt;&lt;author&gt;Daran, Jean-Marc&lt;/author&gt;&lt;author&gt;Daran-Lapujade, Pascale&lt;/author&gt;&lt;/authors&gt;&lt;/contributors&gt;&lt;titles&gt;&lt;title&gt;Pathway swapping: Toward modular engineering of essential cellular processes&lt;/title&gt;&lt;secondary-title&gt;Proceedings of the National Academy of Sciences&lt;/secondary-title&gt;&lt;/titles&gt;&lt;periodical&gt;&lt;full-title&gt;Proceedings of the National Academy of Sciences&lt;/full-title&gt;&lt;abbr-1&gt;Proc. Natl. Acad. Sci. U.S.A.&lt;/abbr-1&gt;&lt;/periodical&gt;&lt;pages&gt;15060-15065&lt;/pages&gt;&lt;volume&gt;113&lt;/volume&gt;&lt;dates&gt;&lt;year&gt;2016&lt;/year&gt;&lt;/dates&gt;&lt;isbn&gt;0027-8424&lt;/isbn&gt;&lt;urls&gt;&lt;/urls&gt;&lt;/record&gt;&lt;/Cite&gt;&lt;/EndNote&gt;</w:instrText>
      </w:r>
      <w:r w:rsidRPr="00097817">
        <w:rPr>
          <w:rFonts w:eastAsia="Calibri" w:cs="Arial"/>
          <w:iCs/>
        </w:rPr>
        <w:fldChar w:fldCharType="separate"/>
      </w:r>
      <w:r w:rsidR="00062498" w:rsidRPr="00062498">
        <w:rPr>
          <w:rFonts w:eastAsia="Calibri" w:cs="Arial"/>
          <w:iCs/>
          <w:noProof/>
          <w:vertAlign w:val="superscript"/>
        </w:rPr>
        <w:t>6</w:t>
      </w:r>
      <w:r w:rsidRPr="00097817">
        <w:rPr>
          <w:rFonts w:eastAsia="Calibri" w:cs="Arial"/>
          <w:iCs/>
        </w:rPr>
        <w:fldChar w:fldCharType="end"/>
      </w:r>
      <w:r w:rsidRPr="00097817">
        <w:rPr>
          <w:rFonts w:eastAsia="Calibri" w:cs="Arial"/>
          <w:iCs/>
        </w:rPr>
        <w:t xml:space="preserve">. SHRs are annotated in </w:t>
      </w:r>
      <w:r w:rsidR="00A94880">
        <w:rPr>
          <w:rFonts w:eastAsia="Calibri" w:cs="Arial"/>
          <w:iCs/>
        </w:rPr>
        <w:t xml:space="preserve">bold </w:t>
      </w:r>
      <w:r w:rsidRPr="00097817">
        <w:rPr>
          <w:rFonts w:eastAsia="Calibri" w:cs="Arial"/>
          <w:iCs/>
        </w:rPr>
        <w:t>subscript between de genetic fragments that they join together.</w:t>
      </w:r>
    </w:p>
    <w:p w14:paraId="39FAFF90" w14:textId="5CBD91FB" w:rsidR="0095323A" w:rsidRDefault="00DE7C8C">
      <w:pPr>
        <w:pStyle w:val="Heading2"/>
      </w:pPr>
      <w:r>
        <w:lastRenderedPageBreak/>
        <w:t>Supplementary</w:t>
      </w:r>
      <w:r w:rsidR="007D6C5A">
        <w:t xml:space="preserve"> </w:t>
      </w:r>
      <w:r w:rsidR="0095323A">
        <w:t xml:space="preserve">Table </w:t>
      </w:r>
      <w:r w:rsidR="00C34D0F">
        <w:t>7</w:t>
      </w:r>
      <w:r w:rsidR="00565924">
        <w:t xml:space="preserve"> </w:t>
      </w:r>
      <w:r>
        <w:t xml:space="preserve">- </w:t>
      </w:r>
      <w:r w:rsidR="00565924" w:rsidRPr="00565924">
        <w:t>Neochromosome configurations</w:t>
      </w:r>
    </w:p>
    <w:p w14:paraId="03F554F1" w14:textId="724EC2CB" w:rsidR="00C95530" w:rsidRDefault="00565924" w:rsidP="00565924">
      <w:pPr>
        <w:rPr>
          <w:iCs/>
          <w:lang w:val="en-GB"/>
        </w:rPr>
      </w:pPr>
      <w:r w:rsidRPr="00565924">
        <w:rPr>
          <w:iCs/>
          <w:lang w:val="en-GB"/>
        </w:rPr>
        <w:t xml:space="preserve">SHRs are differently annotated than in Kuijpers </w:t>
      </w:r>
      <w:r w:rsidRPr="00565924">
        <w:rPr>
          <w:i/>
          <w:iCs/>
          <w:lang w:val="en-GB"/>
        </w:rPr>
        <w:t>et al.</w:t>
      </w:r>
      <w:r w:rsidRPr="00565924">
        <w:rPr>
          <w:iCs/>
          <w:lang w:val="en-GB"/>
        </w:rPr>
        <w:t>. SHRs are annotated in subscript between the genetic fragments that they join together.</w:t>
      </w:r>
    </w:p>
    <w:p w14:paraId="2EE71B42" w14:textId="60B29A40" w:rsidR="00C95530" w:rsidRDefault="00C95530" w:rsidP="00565924">
      <w:pPr>
        <w:rPr>
          <w:iCs/>
          <w:lang w:val="en-GB"/>
        </w:rPr>
      </w:pPr>
      <w:r w:rsidRPr="00C95530">
        <w:rPr>
          <w:rStyle w:val="Heading2Char"/>
          <w:lang w:val="en-GB"/>
        </w:rPr>
        <w:t>Supplementary Table 8 – Plasmids used in this study,</w:t>
      </w:r>
      <w:r w:rsidRPr="00C95530">
        <w:rPr>
          <w:iCs/>
          <w:lang w:val="en-GB"/>
        </w:rPr>
        <w:t xml:space="preserve"> 8A gRNA plasmids, 8B in-house golden gate part plasmids, 8C Part plasmids subcloned by GeneArt in entry vector pUD565, 8D Part plasmids ordered from GeneArt and subcloned in house in entry vector pUD565, 8E Part plasmids made in house by PCR, 8F in house expression plasmids described in other studies, 8G Expression plasmids constructed in this study, 8H Expression plasmids made by Gibson assembly in this study,  8I Other plasmids.</w:t>
      </w:r>
    </w:p>
    <w:p w14:paraId="042FADE1" w14:textId="77777777" w:rsidR="00C95530" w:rsidRPr="00C95530" w:rsidRDefault="00C95530" w:rsidP="00C95530">
      <w:pPr>
        <w:pStyle w:val="Heading2"/>
        <w:rPr>
          <w:lang w:val="es-AR"/>
        </w:rPr>
      </w:pPr>
      <w:r w:rsidRPr="00C95530">
        <w:rPr>
          <w:lang w:val="es-AR"/>
        </w:rPr>
        <w:t>Supplementary Table 9 - pROS/pMEL gRNA primers.</w:t>
      </w:r>
      <w:r w:rsidRPr="00C95530">
        <w:rPr>
          <w:color w:val="auto"/>
          <w:lang w:val="es-AR"/>
        </w:rPr>
        <w:t xml:space="preserve"> </w:t>
      </w:r>
      <w:r w:rsidRPr="00C95530">
        <w:rPr>
          <w:color w:val="auto"/>
        </w:rPr>
        <w:t>gRNA sequence is underlined.</w:t>
      </w:r>
    </w:p>
    <w:p w14:paraId="342E4603" w14:textId="77777777" w:rsidR="00C95530" w:rsidRDefault="00C95530" w:rsidP="00C95530">
      <w:pPr>
        <w:pStyle w:val="Heading2"/>
      </w:pPr>
      <w:r>
        <w:t xml:space="preserve">Supplementary Table 10 - </w:t>
      </w:r>
      <w:r w:rsidRPr="00C17696">
        <w:rPr>
          <w:color w:val="auto"/>
          <w:sz w:val="22"/>
          <w:szCs w:val="22"/>
        </w:rPr>
        <w:t>Primers to check correct construction of gRNA plasmids</w:t>
      </w:r>
      <w:r w:rsidRPr="00C17696">
        <w:rPr>
          <w:color w:val="auto"/>
        </w:rPr>
        <w:t xml:space="preserve"> </w:t>
      </w:r>
    </w:p>
    <w:p w14:paraId="0A1D8338" w14:textId="1FEA55FF" w:rsidR="00C95530" w:rsidRPr="009A68FC" w:rsidRDefault="00C95530" w:rsidP="009A68FC">
      <w:pPr>
        <w:pStyle w:val="Heading2"/>
      </w:pPr>
      <w:r>
        <w:t>Supplementary Table 11 - Primers to make golden gate part plasmids and expression plasmids with Gibson assembly</w:t>
      </w:r>
    </w:p>
    <w:p w14:paraId="4E3E1407" w14:textId="40219910" w:rsidR="009A68FC" w:rsidRPr="009A68FC" w:rsidRDefault="009A68FC" w:rsidP="009A68FC">
      <w:pPr>
        <w:pStyle w:val="Heading2"/>
        <w:rPr>
          <w:lang w:val="en-GB"/>
        </w:rPr>
      </w:pPr>
      <w:r w:rsidRPr="009A68FC">
        <w:rPr>
          <w:lang w:val="en-GB"/>
        </w:rPr>
        <w:t>Table 12 - Diagnostic primers to check golden gate</w:t>
      </w:r>
      <w:r>
        <w:rPr>
          <w:lang w:val="en-GB"/>
        </w:rPr>
        <w:t xml:space="preserve"> part plasmids</w:t>
      </w:r>
    </w:p>
    <w:p w14:paraId="3E9332A0" w14:textId="77777777" w:rsidR="009A68FC" w:rsidRPr="009A68FC" w:rsidRDefault="009A68FC" w:rsidP="009A68FC">
      <w:pPr>
        <w:pStyle w:val="Heading2"/>
        <w:rPr>
          <w:lang w:val="en-GB"/>
        </w:rPr>
      </w:pPr>
      <w:r w:rsidRPr="009A68FC">
        <w:rPr>
          <w:lang w:val="en-GB"/>
        </w:rPr>
        <w:t>Supplementary Table 13 - Diagnostic primers to check golden gate and Gibson assembly expression plasmids, for PCR and Sanger sequencing</w:t>
      </w:r>
    </w:p>
    <w:p w14:paraId="3009F50D" w14:textId="77777777" w:rsidR="009A68FC" w:rsidRPr="009A68FC" w:rsidRDefault="009A68FC" w:rsidP="009A68FC">
      <w:pPr>
        <w:pStyle w:val="Heading2"/>
        <w:rPr>
          <w:lang w:val="en-GB"/>
        </w:rPr>
      </w:pPr>
      <w:r w:rsidRPr="009A68FC">
        <w:rPr>
          <w:lang w:val="en-GB"/>
        </w:rPr>
        <w:t>Supplementary Table 15 - List of primers for amplifying NeoChr10 and NeoChr11 chromosome parts</w:t>
      </w:r>
    </w:p>
    <w:p w14:paraId="090AADCC" w14:textId="77777777" w:rsidR="009A68FC" w:rsidRPr="009A68FC" w:rsidRDefault="009A68FC" w:rsidP="009A68FC">
      <w:pPr>
        <w:pStyle w:val="Heading2"/>
        <w:rPr>
          <w:lang w:val="en-GB"/>
        </w:rPr>
      </w:pPr>
      <w:r w:rsidRPr="009A68FC">
        <w:rPr>
          <w:lang w:val="en-GB"/>
        </w:rPr>
        <w:t>Supplementary Table 16 - Primers  for of amdSYM deletion</w:t>
      </w:r>
    </w:p>
    <w:p w14:paraId="79BA15D1" w14:textId="77777777" w:rsidR="009A68FC" w:rsidRPr="009A68FC" w:rsidRDefault="009A68FC" w:rsidP="009A68FC">
      <w:pPr>
        <w:pStyle w:val="Heading2"/>
        <w:rPr>
          <w:lang w:val="en-GB"/>
        </w:rPr>
      </w:pPr>
      <w:r w:rsidRPr="009A68FC">
        <w:rPr>
          <w:lang w:val="en-GB"/>
        </w:rPr>
        <w:t>Supplementary Table 17 - Primers for deletion of GND2, NQM1, SOL4 and TKL2</w:t>
      </w:r>
    </w:p>
    <w:p w14:paraId="72E3E14B" w14:textId="77777777" w:rsidR="009A68FC" w:rsidRPr="009A68FC" w:rsidRDefault="009A68FC" w:rsidP="009A68FC">
      <w:pPr>
        <w:pStyle w:val="Heading2"/>
        <w:rPr>
          <w:lang w:val="en-GB"/>
        </w:rPr>
      </w:pPr>
      <w:r w:rsidRPr="009A68FC">
        <w:rPr>
          <w:lang w:val="en-GB"/>
        </w:rPr>
        <w:t>Supplementary Table 18 - Primers for deletion of ura3, his3 and SpHIS5</w:t>
      </w:r>
    </w:p>
    <w:p w14:paraId="2B46E984" w14:textId="77777777" w:rsidR="009A68FC" w:rsidRPr="009A68FC" w:rsidRDefault="009A68FC" w:rsidP="009A68FC">
      <w:pPr>
        <w:pStyle w:val="Heading2"/>
        <w:rPr>
          <w:lang w:val="en-GB"/>
        </w:rPr>
      </w:pPr>
      <w:r w:rsidRPr="009A68FC">
        <w:rPr>
          <w:lang w:val="en-GB"/>
        </w:rPr>
        <w:t>Supplementary Table 19 - Primers for deletion of ARO10</w:t>
      </w:r>
    </w:p>
    <w:p w14:paraId="5A793CC0" w14:textId="77777777" w:rsidR="009A68FC" w:rsidRPr="009A68FC" w:rsidRDefault="009A68FC" w:rsidP="009A68FC">
      <w:pPr>
        <w:pStyle w:val="Heading2"/>
        <w:rPr>
          <w:lang w:val="en-GB"/>
        </w:rPr>
      </w:pPr>
      <w:r w:rsidRPr="009A68FC">
        <w:rPr>
          <w:lang w:val="en-GB"/>
        </w:rPr>
        <w:t>Supplementary Table 20 - List of NeoChr25 (linear) and NeoChr26 (circular) chromosome parts</w:t>
      </w:r>
    </w:p>
    <w:p w14:paraId="781C7CBF" w14:textId="77777777" w:rsidR="009A68FC" w:rsidRPr="009A68FC" w:rsidRDefault="009A68FC" w:rsidP="009A68FC">
      <w:pPr>
        <w:pStyle w:val="Heading2"/>
        <w:rPr>
          <w:lang w:val="en-GB"/>
        </w:rPr>
      </w:pPr>
      <w:r w:rsidRPr="009A68FC">
        <w:rPr>
          <w:lang w:val="en-GB"/>
        </w:rPr>
        <w:t>Supplementary Table 21 - List of primers for amplifying NeoChr25 and NeoChr26 chromosome parts</w:t>
      </w:r>
    </w:p>
    <w:p w14:paraId="7C50A3DC" w14:textId="77EA93E9" w:rsidR="00C95530" w:rsidRDefault="009A68FC" w:rsidP="009A68FC">
      <w:pPr>
        <w:pStyle w:val="Heading2"/>
        <w:rPr>
          <w:lang w:val="en-GB"/>
        </w:rPr>
      </w:pPr>
      <w:r w:rsidRPr="009A68FC">
        <w:rPr>
          <w:lang w:val="en-GB"/>
        </w:rPr>
        <w:t>Supplementary Table 22 - Primers for glycolysis deletion</w:t>
      </w:r>
    </w:p>
    <w:p w14:paraId="7D379F07" w14:textId="0CD68756" w:rsidR="00C95530" w:rsidRDefault="00C95530" w:rsidP="00565924">
      <w:pPr>
        <w:rPr>
          <w:iCs/>
          <w:lang w:val="en-GB"/>
        </w:rPr>
      </w:pPr>
    </w:p>
    <w:p w14:paraId="74CABFA1" w14:textId="77777777" w:rsidR="00C95530" w:rsidRDefault="00C95530" w:rsidP="00C95530">
      <w:pPr>
        <w:pStyle w:val="Heading2"/>
      </w:pPr>
      <w:r>
        <w:lastRenderedPageBreak/>
        <w:t>Supplementary Table 23 - Primers to repair</w:t>
      </w:r>
      <w:r w:rsidRPr="003727F9">
        <w:rPr>
          <w:i/>
        </w:rPr>
        <w:t xml:space="preserve"> RKI1</w:t>
      </w:r>
      <w:r>
        <w:t xml:space="preserve"> mutation in IMF32</w:t>
      </w:r>
    </w:p>
    <w:p w14:paraId="21267ED3" w14:textId="77777777" w:rsidR="00C95530" w:rsidRDefault="00C95530" w:rsidP="00C95530">
      <w:pPr>
        <w:pStyle w:val="Heading2"/>
      </w:pPr>
      <w:r>
        <w:t xml:space="preserve">Supplementary Table 24 - Primers for deletion of native </w:t>
      </w:r>
      <w:r w:rsidRPr="003727F9">
        <w:rPr>
          <w:i/>
        </w:rPr>
        <w:t xml:space="preserve">ZWF1, GND1, SOL3, RKI1, TAL1, TKL1 </w:t>
      </w:r>
      <w:r w:rsidRPr="003727F9">
        <w:t>and</w:t>
      </w:r>
      <w:r w:rsidRPr="003727F9">
        <w:rPr>
          <w:i/>
        </w:rPr>
        <w:t xml:space="preserve"> RPE1</w:t>
      </w:r>
      <w:r>
        <w:t xml:space="preserve"> ORFs</w:t>
      </w:r>
    </w:p>
    <w:p w14:paraId="5CDC1787" w14:textId="77777777" w:rsidR="00C95530" w:rsidRDefault="00C95530" w:rsidP="00C95530">
      <w:pPr>
        <w:pStyle w:val="Heading2"/>
      </w:pPr>
      <w:r>
        <w:t>Supplementary Table 25 - Parts of the “basic design” of the anthocyanin pathway</w:t>
      </w:r>
    </w:p>
    <w:p w14:paraId="027F7CB3" w14:textId="77777777" w:rsidR="00C95530" w:rsidRDefault="00C95530" w:rsidP="00C95530">
      <w:pPr>
        <w:pStyle w:val="Heading2"/>
      </w:pPr>
      <w:r>
        <w:t>Supplementary Table 26 - List of primers for amplifying the fragments of the “basic design” of the anthocyanin pathway and diagnosing integration</w:t>
      </w:r>
    </w:p>
    <w:p w14:paraId="6FDF8CA8" w14:textId="77777777" w:rsidR="00C95530" w:rsidRDefault="00C95530" w:rsidP="00C95530">
      <w:pPr>
        <w:pStyle w:val="Heading2"/>
      </w:pPr>
      <w:r>
        <w:t>Supplementary Table 27 - List of primers for amplifying the fragments of the “elaborate design” of the anthocyanin pathway with several copies of the chalcone synthase and diagnostic PCR.</w:t>
      </w:r>
    </w:p>
    <w:p w14:paraId="6E23FA9F" w14:textId="77777777" w:rsidR="00C95530" w:rsidRDefault="00C95530" w:rsidP="00C95530">
      <w:pPr>
        <w:pStyle w:val="Heading2"/>
      </w:pPr>
      <w:r>
        <w:t xml:space="preserve">Supplementary Table 28 List of primers for amplifying the correct </w:t>
      </w:r>
      <w:r w:rsidRPr="00555C63">
        <w:rPr>
          <w:i/>
        </w:rPr>
        <w:t>CoAtANS</w:t>
      </w:r>
      <w:r>
        <w:t xml:space="preserve"> transcriptional unit and the diagnostic primers used to confirm correct integration. </w:t>
      </w:r>
    </w:p>
    <w:p w14:paraId="7552A4C3" w14:textId="77777777" w:rsidR="00C95530" w:rsidRPr="00C95530" w:rsidRDefault="00C95530" w:rsidP="00C95530">
      <w:pPr>
        <w:pStyle w:val="Heading1"/>
      </w:pPr>
      <w:r>
        <w:t>Supplementary Methods</w:t>
      </w:r>
    </w:p>
    <w:p w14:paraId="7E87C88B" w14:textId="77777777" w:rsidR="00C95530" w:rsidRPr="00C95530" w:rsidRDefault="00C95530" w:rsidP="00C95530">
      <w:pPr>
        <w:pStyle w:val="Heading2"/>
      </w:pPr>
      <w:r>
        <w:t xml:space="preserve">Supplementary Methods 1: </w:t>
      </w:r>
      <w:r w:rsidRPr="00063366">
        <w:t xml:space="preserve">Strains, growth medium and maintenance. </w:t>
      </w:r>
    </w:p>
    <w:p w14:paraId="3A257881" w14:textId="77777777" w:rsidR="00C95530" w:rsidRPr="00063366" w:rsidRDefault="00C95530" w:rsidP="00C95530">
      <w:pPr>
        <w:pStyle w:val="Heading2"/>
        <w:rPr>
          <w:lang w:val="en-GB"/>
        </w:rPr>
      </w:pPr>
      <w:r>
        <w:t>Supplementary Methods 2: Molecular biology techniques</w:t>
      </w:r>
    </w:p>
    <w:p w14:paraId="4A8CB804" w14:textId="77777777" w:rsidR="00C95530" w:rsidRPr="00063366" w:rsidRDefault="00C95530" w:rsidP="00C95530">
      <w:pPr>
        <w:pStyle w:val="Heading2"/>
        <w:rPr>
          <w:color w:val="1F4D78" w:themeColor="accent1" w:themeShade="7F"/>
          <w:sz w:val="24"/>
          <w:szCs w:val="24"/>
        </w:rPr>
      </w:pPr>
      <w:r>
        <w:t>Supplementary Methods 3: Detailed construction of the host strain IMX2770</w:t>
      </w:r>
    </w:p>
    <w:p w14:paraId="137C526A" w14:textId="77777777" w:rsidR="00C95530" w:rsidRPr="00063366" w:rsidRDefault="00C95530" w:rsidP="00C95530">
      <w:pPr>
        <w:pStyle w:val="Heading2"/>
      </w:pPr>
      <w:r>
        <w:t xml:space="preserve">Supplementary Methods 4: </w:t>
      </w:r>
      <w:r w:rsidRPr="00063366">
        <w:t>MinION long-read sequencing</w:t>
      </w:r>
    </w:p>
    <w:p w14:paraId="237261A2" w14:textId="77777777" w:rsidR="00C95530" w:rsidRPr="00063366" w:rsidRDefault="00C95530" w:rsidP="00C95530">
      <w:pPr>
        <w:pStyle w:val="Heading2"/>
      </w:pPr>
      <w:r>
        <w:t>Supplementary Methods 5: Analysis of aromatics</w:t>
      </w:r>
    </w:p>
    <w:p w14:paraId="7618555F" w14:textId="77777777" w:rsidR="00C95530" w:rsidRPr="00D37E5D" w:rsidRDefault="00C95530" w:rsidP="00C95530">
      <w:pPr>
        <w:pStyle w:val="Heading3"/>
        <w:numPr>
          <w:ilvl w:val="0"/>
          <w:numId w:val="6"/>
        </w:numPr>
        <w:rPr>
          <w:rFonts w:cstheme="minorHAnsi"/>
          <w:b/>
        </w:rPr>
      </w:pPr>
      <w:r>
        <w:t>HPLC</w:t>
      </w:r>
      <w:r w:rsidRPr="00D37E5D">
        <w:t xml:space="preserve"> analysis of </w:t>
      </w:r>
      <w:r>
        <w:t>aromatic</w:t>
      </w:r>
      <w:r w:rsidRPr="00D37E5D">
        <w:t xml:space="preserve"> compounds</w:t>
      </w:r>
      <w:r>
        <w:t xml:space="preserve"> up until naringenin</w:t>
      </w:r>
      <w:r w:rsidRPr="00D37E5D">
        <w:rPr>
          <w:rFonts w:cstheme="minorHAnsi"/>
          <w:b/>
        </w:rPr>
        <w:t xml:space="preserve"> </w:t>
      </w:r>
    </w:p>
    <w:p w14:paraId="1AB30A49" w14:textId="6917F68B" w:rsidR="00C95530" w:rsidRPr="009A68FC" w:rsidRDefault="00C95530" w:rsidP="009A68FC">
      <w:pPr>
        <w:pStyle w:val="Heading3"/>
        <w:numPr>
          <w:ilvl w:val="0"/>
          <w:numId w:val="6"/>
        </w:numPr>
        <w:rPr>
          <w:rFonts w:cstheme="minorHAnsi"/>
          <w:b/>
        </w:rPr>
      </w:pPr>
      <w:r w:rsidRPr="00D37E5D">
        <w:t>Mass spectrometric analysis of anthocyanin pathway compounds</w:t>
      </w:r>
      <w:r w:rsidRPr="00D37E5D">
        <w:rPr>
          <w:rFonts w:cstheme="minorHAnsi"/>
          <w:b/>
        </w:rPr>
        <w:t xml:space="preserve"> </w:t>
      </w:r>
    </w:p>
    <w:sectPr w:rsidR="00C95530" w:rsidRPr="009A68FC">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192C9" w16cex:dateUtc="2021-08-01T19:38:00Z"/>
  <w16cex:commentExtensible w16cex:durableId="24940413" w16cex:dateUtc="2021-07-10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0FA0F4" w16cid:durableId="249C804F"/>
  <w16cid:commentId w16cid:paraId="33F8839E" w16cid:durableId="24B10F29"/>
  <w16cid:commentId w16cid:paraId="354AFE19" w16cid:durableId="24B192C9"/>
  <w16cid:commentId w16cid:paraId="5CE00155" w16cid:durableId="249404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D505C" w14:textId="77777777" w:rsidR="00067E80" w:rsidRDefault="00067E80" w:rsidP="00761906">
      <w:pPr>
        <w:spacing w:after="0" w:line="240" w:lineRule="auto"/>
      </w:pPr>
      <w:r>
        <w:separator/>
      </w:r>
    </w:p>
  </w:endnote>
  <w:endnote w:type="continuationSeparator" w:id="0">
    <w:p w14:paraId="15BF30C8" w14:textId="77777777" w:rsidR="00067E80" w:rsidRDefault="00067E80" w:rsidP="0076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TIXGeneral-Regular">
    <w:altName w:val="Malgun Gothic"/>
    <w:panose1 w:val="00000000000000000000"/>
    <w:charset w:val="81"/>
    <w:family w:val="swiss"/>
    <w:notTrueType/>
    <w:pitch w:val="default"/>
    <w:sig w:usb0="00000000" w:usb1="09060000" w:usb2="00000010" w:usb3="00000000" w:csb0="00080000" w:csb1="00000000"/>
  </w:font>
  <w:font w:name="CharisSIL">
    <w:altName w:val="Microsoft YaHei"/>
    <w:panose1 w:val="00000000000000000000"/>
    <w:charset w:val="80"/>
    <w:family w:val="swiss"/>
    <w:notTrueType/>
    <w:pitch w:val="default"/>
    <w:sig w:usb0="00000001" w:usb1="08070000" w:usb2="00000010" w:usb3="00000000" w:csb0="00020000"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878630"/>
      <w:docPartObj>
        <w:docPartGallery w:val="Page Numbers (Bottom of Page)"/>
        <w:docPartUnique/>
      </w:docPartObj>
    </w:sdtPr>
    <w:sdtEndPr>
      <w:rPr>
        <w:noProof/>
      </w:rPr>
    </w:sdtEndPr>
    <w:sdtContent>
      <w:p w14:paraId="16F53BE6" w14:textId="3F62A2AA" w:rsidR="00C17696" w:rsidRDefault="00C17696">
        <w:pPr>
          <w:pStyle w:val="Footer"/>
          <w:jc w:val="right"/>
        </w:pPr>
        <w:r>
          <w:fldChar w:fldCharType="begin"/>
        </w:r>
        <w:r>
          <w:instrText xml:space="preserve"> PAGE   \* MERGEFORMAT </w:instrText>
        </w:r>
        <w:r>
          <w:fldChar w:fldCharType="separate"/>
        </w:r>
        <w:r w:rsidR="00AF08FC">
          <w:rPr>
            <w:noProof/>
          </w:rPr>
          <w:t>2</w:t>
        </w:r>
        <w:r>
          <w:rPr>
            <w:noProof/>
          </w:rPr>
          <w:fldChar w:fldCharType="end"/>
        </w:r>
      </w:p>
    </w:sdtContent>
  </w:sdt>
  <w:p w14:paraId="606A4B53" w14:textId="77777777" w:rsidR="00C17696" w:rsidRDefault="00C176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1C629" w14:textId="77777777" w:rsidR="00067E80" w:rsidRDefault="00067E80" w:rsidP="00761906">
      <w:pPr>
        <w:spacing w:after="0" w:line="240" w:lineRule="auto"/>
      </w:pPr>
      <w:r>
        <w:separator/>
      </w:r>
    </w:p>
  </w:footnote>
  <w:footnote w:type="continuationSeparator" w:id="0">
    <w:p w14:paraId="76445562" w14:textId="77777777" w:rsidR="00067E80" w:rsidRDefault="00067E80" w:rsidP="00761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47579"/>
    <w:multiLevelType w:val="hybridMultilevel"/>
    <w:tmpl w:val="885E20B4"/>
    <w:lvl w:ilvl="0" w:tplc="DBFABD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C841C2"/>
    <w:multiLevelType w:val="hybridMultilevel"/>
    <w:tmpl w:val="E1AC498E"/>
    <w:lvl w:ilvl="0" w:tplc="260E72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B804C2"/>
    <w:multiLevelType w:val="hybridMultilevel"/>
    <w:tmpl w:val="6D2E035E"/>
    <w:lvl w:ilvl="0" w:tplc="F618AA94">
      <w:start w:val="1"/>
      <w:numFmt w:val="upperLetter"/>
      <w:lvlText w:val="%1."/>
      <w:lvlJc w:val="left"/>
      <w:pPr>
        <w:ind w:left="720" w:hanging="360"/>
      </w:pPr>
      <w:rPr>
        <w:rFonts w:cstheme="maj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546990"/>
    <w:multiLevelType w:val="hybridMultilevel"/>
    <w:tmpl w:val="F6325DFC"/>
    <w:lvl w:ilvl="0" w:tplc="47A848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726C2F"/>
    <w:multiLevelType w:val="hybridMultilevel"/>
    <w:tmpl w:val="5C0A564A"/>
    <w:lvl w:ilvl="0" w:tplc="4740B1D8">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2CD1214"/>
    <w:multiLevelType w:val="hybridMultilevel"/>
    <w:tmpl w:val="6CD21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 Biotechn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wa59wsitt02heefx35s99ya9zpwztaxfdv&quot;&gt;My EndNote Library&lt;record-ids&gt;&lt;item&gt;41&lt;/item&gt;&lt;item&gt;48&lt;/item&gt;&lt;item&gt;60&lt;/item&gt;&lt;item&gt;61&lt;/item&gt;&lt;item&gt;62&lt;/item&gt;&lt;item&gt;63&lt;/item&gt;&lt;item&gt;64&lt;/item&gt;&lt;item&gt;127&lt;/item&gt;&lt;item&gt;128&lt;/item&gt;&lt;item&gt;129&lt;/item&gt;&lt;item&gt;130&lt;/item&gt;&lt;item&gt;162&lt;/item&gt;&lt;item&gt;174&lt;/item&gt;&lt;item&gt;175&lt;/item&gt;&lt;item&gt;291&lt;/item&gt;&lt;item&gt;292&lt;/item&gt;&lt;item&gt;294&lt;/item&gt;&lt;item&gt;344&lt;/item&gt;&lt;item&gt;487&lt;/item&gt;&lt;/record-ids&gt;&lt;/item&gt;&lt;/Libraries&gt;"/>
  </w:docVars>
  <w:rsids>
    <w:rsidRoot w:val="007828EE"/>
    <w:rsid w:val="00000748"/>
    <w:rsid w:val="00001831"/>
    <w:rsid w:val="00004EC1"/>
    <w:rsid w:val="00014EA1"/>
    <w:rsid w:val="0002224F"/>
    <w:rsid w:val="0002707C"/>
    <w:rsid w:val="000364D9"/>
    <w:rsid w:val="00046451"/>
    <w:rsid w:val="000547C8"/>
    <w:rsid w:val="00062498"/>
    <w:rsid w:val="00062C5C"/>
    <w:rsid w:val="000654A8"/>
    <w:rsid w:val="00067B7C"/>
    <w:rsid w:val="00067E80"/>
    <w:rsid w:val="00070E57"/>
    <w:rsid w:val="00071490"/>
    <w:rsid w:val="00074645"/>
    <w:rsid w:val="00077196"/>
    <w:rsid w:val="00081963"/>
    <w:rsid w:val="00091CB3"/>
    <w:rsid w:val="000965E5"/>
    <w:rsid w:val="00097817"/>
    <w:rsid w:val="000A1046"/>
    <w:rsid w:val="000A63A5"/>
    <w:rsid w:val="000A7A6D"/>
    <w:rsid w:val="000B207E"/>
    <w:rsid w:val="000B2842"/>
    <w:rsid w:val="000B4585"/>
    <w:rsid w:val="000B5E65"/>
    <w:rsid w:val="000B6117"/>
    <w:rsid w:val="000B6AA4"/>
    <w:rsid w:val="000C27DD"/>
    <w:rsid w:val="000C30A6"/>
    <w:rsid w:val="000C3D5C"/>
    <w:rsid w:val="000D1C72"/>
    <w:rsid w:val="000D201E"/>
    <w:rsid w:val="000D3131"/>
    <w:rsid w:val="000D6E2D"/>
    <w:rsid w:val="000E3011"/>
    <w:rsid w:val="000E49BE"/>
    <w:rsid w:val="000E555D"/>
    <w:rsid w:val="000F0C9E"/>
    <w:rsid w:val="000F3694"/>
    <w:rsid w:val="000F450B"/>
    <w:rsid w:val="00100738"/>
    <w:rsid w:val="0010380D"/>
    <w:rsid w:val="00103AC3"/>
    <w:rsid w:val="00151E03"/>
    <w:rsid w:val="00156C4D"/>
    <w:rsid w:val="001604D9"/>
    <w:rsid w:val="00166AAA"/>
    <w:rsid w:val="00167B67"/>
    <w:rsid w:val="00171350"/>
    <w:rsid w:val="00176E7E"/>
    <w:rsid w:val="001772CA"/>
    <w:rsid w:val="00182DA9"/>
    <w:rsid w:val="00191B3B"/>
    <w:rsid w:val="00193BF8"/>
    <w:rsid w:val="001945D5"/>
    <w:rsid w:val="001958E1"/>
    <w:rsid w:val="001A19C2"/>
    <w:rsid w:val="001A39A5"/>
    <w:rsid w:val="001A5C9C"/>
    <w:rsid w:val="001A76B1"/>
    <w:rsid w:val="001B74D3"/>
    <w:rsid w:val="001C13BD"/>
    <w:rsid w:val="001D0A36"/>
    <w:rsid w:val="001D1106"/>
    <w:rsid w:val="001E0BFA"/>
    <w:rsid w:val="001E7B02"/>
    <w:rsid w:val="001F1771"/>
    <w:rsid w:val="001F6B97"/>
    <w:rsid w:val="00207002"/>
    <w:rsid w:val="00207FE9"/>
    <w:rsid w:val="00210129"/>
    <w:rsid w:val="00210D2E"/>
    <w:rsid w:val="00210F7D"/>
    <w:rsid w:val="00213F49"/>
    <w:rsid w:val="00221323"/>
    <w:rsid w:val="002316E2"/>
    <w:rsid w:val="00232C81"/>
    <w:rsid w:val="00233BFA"/>
    <w:rsid w:val="00235EEE"/>
    <w:rsid w:val="00236292"/>
    <w:rsid w:val="00250492"/>
    <w:rsid w:val="00251244"/>
    <w:rsid w:val="00251953"/>
    <w:rsid w:val="002542AF"/>
    <w:rsid w:val="00257F3B"/>
    <w:rsid w:val="00266638"/>
    <w:rsid w:val="00267E7E"/>
    <w:rsid w:val="0027166A"/>
    <w:rsid w:val="00271913"/>
    <w:rsid w:val="00275164"/>
    <w:rsid w:val="002815D6"/>
    <w:rsid w:val="00290237"/>
    <w:rsid w:val="00293F1E"/>
    <w:rsid w:val="002A12A6"/>
    <w:rsid w:val="002A179E"/>
    <w:rsid w:val="002A1A1F"/>
    <w:rsid w:val="002A1A51"/>
    <w:rsid w:val="002A1C5E"/>
    <w:rsid w:val="002A5F3A"/>
    <w:rsid w:val="002B3A53"/>
    <w:rsid w:val="002B5A07"/>
    <w:rsid w:val="002C3266"/>
    <w:rsid w:val="002D0A1F"/>
    <w:rsid w:val="002D17E0"/>
    <w:rsid w:val="002D2B7C"/>
    <w:rsid w:val="002D4111"/>
    <w:rsid w:val="002D643D"/>
    <w:rsid w:val="002D653E"/>
    <w:rsid w:val="002E0734"/>
    <w:rsid w:val="002E3611"/>
    <w:rsid w:val="002E68B1"/>
    <w:rsid w:val="002E695C"/>
    <w:rsid w:val="002F4808"/>
    <w:rsid w:val="002F6581"/>
    <w:rsid w:val="00307D42"/>
    <w:rsid w:val="0031000C"/>
    <w:rsid w:val="00310DC2"/>
    <w:rsid w:val="003131EA"/>
    <w:rsid w:val="00313741"/>
    <w:rsid w:val="00321DB3"/>
    <w:rsid w:val="00326564"/>
    <w:rsid w:val="00330CBF"/>
    <w:rsid w:val="0033318A"/>
    <w:rsid w:val="0034294B"/>
    <w:rsid w:val="003461F1"/>
    <w:rsid w:val="00352E21"/>
    <w:rsid w:val="003552E6"/>
    <w:rsid w:val="003610A9"/>
    <w:rsid w:val="00366EB9"/>
    <w:rsid w:val="003727F9"/>
    <w:rsid w:val="00376577"/>
    <w:rsid w:val="00377775"/>
    <w:rsid w:val="00390FF9"/>
    <w:rsid w:val="0039384D"/>
    <w:rsid w:val="003972CD"/>
    <w:rsid w:val="003B3459"/>
    <w:rsid w:val="003B443B"/>
    <w:rsid w:val="003B71EA"/>
    <w:rsid w:val="003B7E6E"/>
    <w:rsid w:val="003C4247"/>
    <w:rsid w:val="003C4C9A"/>
    <w:rsid w:val="003D1549"/>
    <w:rsid w:val="003D1C7A"/>
    <w:rsid w:val="003E0342"/>
    <w:rsid w:val="003F2B13"/>
    <w:rsid w:val="003F4DA8"/>
    <w:rsid w:val="003F6777"/>
    <w:rsid w:val="00400230"/>
    <w:rsid w:val="00400252"/>
    <w:rsid w:val="00400294"/>
    <w:rsid w:val="004028AD"/>
    <w:rsid w:val="00402909"/>
    <w:rsid w:val="00405837"/>
    <w:rsid w:val="00405A1D"/>
    <w:rsid w:val="00411E34"/>
    <w:rsid w:val="004153DD"/>
    <w:rsid w:val="0041687B"/>
    <w:rsid w:val="0042484D"/>
    <w:rsid w:val="00425F4B"/>
    <w:rsid w:val="004273E3"/>
    <w:rsid w:val="004278EE"/>
    <w:rsid w:val="00431278"/>
    <w:rsid w:val="00436F1B"/>
    <w:rsid w:val="00437C55"/>
    <w:rsid w:val="004429B5"/>
    <w:rsid w:val="00445DB8"/>
    <w:rsid w:val="00447197"/>
    <w:rsid w:val="00447B3F"/>
    <w:rsid w:val="004520ED"/>
    <w:rsid w:val="00456BC5"/>
    <w:rsid w:val="00467055"/>
    <w:rsid w:val="004705A1"/>
    <w:rsid w:val="004801D3"/>
    <w:rsid w:val="00480909"/>
    <w:rsid w:val="004821C5"/>
    <w:rsid w:val="004821CA"/>
    <w:rsid w:val="004910DD"/>
    <w:rsid w:val="004915B3"/>
    <w:rsid w:val="00491AA0"/>
    <w:rsid w:val="00495E45"/>
    <w:rsid w:val="00496A68"/>
    <w:rsid w:val="004A3A16"/>
    <w:rsid w:val="004C2A5C"/>
    <w:rsid w:val="004C6795"/>
    <w:rsid w:val="004C7163"/>
    <w:rsid w:val="004D287F"/>
    <w:rsid w:val="004D5C2B"/>
    <w:rsid w:val="004E2664"/>
    <w:rsid w:val="004F150D"/>
    <w:rsid w:val="00505AE1"/>
    <w:rsid w:val="00507647"/>
    <w:rsid w:val="00514A37"/>
    <w:rsid w:val="005153E1"/>
    <w:rsid w:val="0052167D"/>
    <w:rsid w:val="00523BFB"/>
    <w:rsid w:val="005301EC"/>
    <w:rsid w:val="0053325E"/>
    <w:rsid w:val="00536941"/>
    <w:rsid w:val="00541557"/>
    <w:rsid w:val="005424A5"/>
    <w:rsid w:val="00544EB5"/>
    <w:rsid w:val="00550E57"/>
    <w:rsid w:val="0055285D"/>
    <w:rsid w:val="00555C63"/>
    <w:rsid w:val="005565FE"/>
    <w:rsid w:val="005624F8"/>
    <w:rsid w:val="0056296D"/>
    <w:rsid w:val="00565293"/>
    <w:rsid w:val="00565924"/>
    <w:rsid w:val="00565D66"/>
    <w:rsid w:val="00566D84"/>
    <w:rsid w:val="00567875"/>
    <w:rsid w:val="00572BD1"/>
    <w:rsid w:val="00574C32"/>
    <w:rsid w:val="00584C88"/>
    <w:rsid w:val="00585C66"/>
    <w:rsid w:val="00591F37"/>
    <w:rsid w:val="005948A9"/>
    <w:rsid w:val="005A1B32"/>
    <w:rsid w:val="005A1C46"/>
    <w:rsid w:val="005A5E5F"/>
    <w:rsid w:val="005A756D"/>
    <w:rsid w:val="005B5405"/>
    <w:rsid w:val="005B6E5E"/>
    <w:rsid w:val="005C0BD2"/>
    <w:rsid w:val="005C7C1B"/>
    <w:rsid w:val="005D0808"/>
    <w:rsid w:val="005D1382"/>
    <w:rsid w:val="005D44BF"/>
    <w:rsid w:val="005D5DC0"/>
    <w:rsid w:val="005D6565"/>
    <w:rsid w:val="005E0B69"/>
    <w:rsid w:val="005E1AA3"/>
    <w:rsid w:val="005F68A9"/>
    <w:rsid w:val="006007F8"/>
    <w:rsid w:val="00602CA8"/>
    <w:rsid w:val="00605AC1"/>
    <w:rsid w:val="00613D20"/>
    <w:rsid w:val="00623A55"/>
    <w:rsid w:val="00624A55"/>
    <w:rsid w:val="0062658F"/>
    <w:rsid w:val="006272D6"/>
    <w:rsid w:val="006323D4"/>
    <w:rsid w:val="0063590D"/>
    <w:rsid w:val="006452EF"/>
    <w:rsid w:val="00646A03"/>
    <w:rsid w:val="00647130"/>
    <w:rsid w:val="00651864"/>
    <w:rsid w:val="00653477"/>
    <w:rsid w:val="0065510E"/>
    <w:rsid w:val="00655989"/>
    <w:rsid w:val="006600AD"/>
    <w:rsid w:val="00674D96"/>
    <w:rsid w:val="00675204"/>
    <w:rsid w:val="00680E4A"/>
    <w:rsid w:val="00681542"/>
    <w:rsid w:val="006954A5"/>
    <w:rsid w:val="006A1800"/>
    <w:rsid w:val="006A291B"/>
    <w:rsid w:val="006A3A8B"/>
    <w:rsid w:val="006B36AB"/>
    <w:rsid w:val="006B5E3B"/>
    <w:rsid w:val="006C11B6"/>
    <w:rsid w:val="006C2555"/>
    <w:rsid w:val="006C7CEE"/>
    <w:rsid w:val="006D2F75"/>
    <w:rsid w:val="006D34A4"/>
    <w:rsid w:val="006D5160"/>
    <w:rsid w:val="006D5AF4"/>
    <w:rsid w:val="006D64A1"/>
    <w:rsid w:val="006D6DB8"/>
    <w:rsid w:val="006D6E80"/>
    <w:rsid w:val="006E71F4"/>
    <w:rsid w:val="006E7A55"/>
    <w:rsid w:val="00700B59"/>
    <w:rsid w:val="007022F5"/>
    <w:rsid w:val="00707725"/>
    <w:rsid w:val="007100C9"/>
    <w:rsid w:val="007106BC"/>
    <w:rsid w:val="00712980"/>
    <w:rsid w:val="00715702"/>
    <w:rsid w:val="00716775"/>
    <w:rsid w:val="00722C65"/>
    <w:rsid w:val="00724561"/>
    <w:rsid w:val="00730E5F"/>
    <w:rsid w:val="0073130D"/>
    <w:rsid w:val="007316B1"/>
    <w:rsid w:val="007355B3"/>
    <w:rsid w:val="00735DAC"/>
    <w:rsid w:val="007360BD"/>
    <w:rsid w:val="00737EE3"/>
    <w:rsid w:val="007478DC"/>
    <w:rsid w:val="007529F5"/>
    <w:rsid w:val="00761906"/>
    <w:rsid w:val="007703B2"/>
    <w:rsid w:val="00776DAF"/>
    <w:rsid w:val="00777DC1"/>
    <w:rsid w:val="007828EE"/>
    <w:rsid w:val="00787E3E"/>
    <w:rsid w:val="00793FAC"/>
    <w:rsid w:val="007960A2"/>
    <w:rsid w:val="007B504F"/>
    <w:rsid w:val="007C183A"/>
    <w:rsid w:val="007C2E85"/>
    <w:rsid w:val="007D4905"/>
    <w:rsid w:val="007D6C5A"/>
    <w:rsid w:val="007E5550"/>
    <w:rsid w:val="007E556B"/>
    <w:rsid w:val="007E65AF"/>
    <w:rsid w:val="007F487E"/>
    <w:rsid w:val="007F4DA3"/>
    <w:rsid w:val="0080598A"/>
    <w:rsid w:val="00805B60"/>
    <w:rsid w:val="00807095"/>
    <w:rsid w:val="00807E00"/>
    <w:rsid w:val="0081101C"/>
    <w:rsid w:val="008115C0"/>
    <w:rsid w:val="00814B0A"/>
    <w:rsid w:val="00815F7F"/>
    <w:rsid w:val="00837504"/>
    <w:rsid w:val="00846DD0"/>
    <w:rsid w:val="00850E1A"/>
    <w:rsid w:val="00850ED7"/>
    <w:rsid w:val="00851A38"/>
    <w:rsid w:val="00864EB7"/>
    <w:rsid w:val="008664DD"/>
    <w:rsid w:val="008713F8"/>
    <w:rsid w:val="00872163"/>
    <w:rsid w:val="008726D1"/>
    <w:rsid w:val="00873990"/>
    <w:rsid w:val="00873AB2"/>
    <w:rsid w:val="00886A0C"/>
    <w:rsid w:val="0089039D"/>
    <w:rsid w:val="008937EE"/>
    <w:rsid w:val="00893F90"/>
    <w:rsid w:val="00895770"/>
    <w:rsid w:val="008964AD"/>
    <w:rsid w:val="008979DE"/>
    <w:rsid w:val="008B40C2"/>
    <w:rsid w:val="008B6C53"/>
    <w:rsid w:val="008C59D3"/>
    <w:rsid w:val="008C7F5C"/>
    <w:rsid w:val="008D649D"/>
    <w:rsid w:val="008E3F71"/>
    <w:rsid w:val="00904122"/>
    <w:rsid w:val="0090798B"/>
    <w:rsid w:val="009113A3"/>
    <w:rsid w:val="00914115"/>
    <w:rsid w:val="009171E6"/>
    <w:rsid w:val="0092465F"/>
    <w:rsid w:val="00924A6F"/>
    <w:rsid w:val="00924F7E"/>
    <w:rsid w:val="009269B7"/>
    <w:rsid w:val="009341BA"/>
    <w:rsid w:val="009420E0"/>
    <w:rsid w:val="00952D01"/>
    <w:rsid w:val="00952DA5"/>
    <w:rsid w:val="0095323A"/>
    <w:rsid w:val="009536A0"/>
    <w:rsid w:val="00953DAB"/>
    <w:rsid w:val="00964EA2"/>
    <w:rsid w:val="009656FC"/>
    <w:rsid w:val="009741EF"/>
    <w:rsid w:val="00974F06"/>
    <w:rsid w:val="0098108E"/>
    <w:rsid w:val="00982BDD"/>
    <w:rsid w:val="00982C83"/>
    <w:rsid w:val="0098597A"/>
    <w:rsid w:val="00986962"/>
    <w:rsid w:val="00990D46"/>
    <w:rsid w:val="00993320"/>
    <w:rsid w:val="009939C6"/>
    <w:rsid w:val="009A0010"/>
    <w:rsid w:val="009A68FC"/>
    <w:rsid w:val="009A769B"/>
    <w:rsid w:val="009C5D52"/>
    <w:rsid w:val="009D3F0F"/>
    <w:rsid w:val="009D4CFA"/>
    <w:rsid w:val="009D4D6A"/>
    <w:rsid w:val="009D56FF"/>
    <w:rsid w:val="009E0494"/>
    <w:rsid w:val="009E1D20"/>
    <w:rsid w:val="009E33EA"/>
    <w:rsid w:val="009E3A3B"/>
    <w:rsid w:val="009E4572"/>
    <w:rsid w:val="009E611B"/>
    <w:rsid w:val="009F0B25"/>
    <w:rsid w:val="009F0CD3"/>
    <w:rsid w:val="009F60BE"/>
    <w:rsid w:val="009F72DE"/>
    <w:rsid w:val="00A025EB"/>
    <w:rsid w:val="00A15DFE"/>
    <w:rsid w:val="00A21F0C"/>
    <w:rsid w:val="00A2427C"/>
    <w:rsid w:val="00A346F0"/>
    <w:rsid w:val="00A409FA"/>
    <w:rsid w:val="00A43972"/>
    <w:rsid w:val="00A43FAB"/>
    <w:rsid w:val="00A5402F"/>
    <w:rsid w:val="00A56072"/>
    <w:rsid w:val="00A576DE"/>
    <w:rsid w:val="00A61236"/>
    <w:rsid w:val="00A63B1E"/>
    <w:rsid w:val="00A71EE6"/>
    <w:rsid w:val="00A72D8E"/>
    <w:rsid w:val="00A74F4A"/>
    <w:rsid w:val="00A75574"/>
    <w:rsid w:val="00A80037"/>
    <w:rsid w:val="00A85A1C"/>
    <w:rsid w:val="00A86F71"/>
    <w:rsid w:val="00A92ADE"/>
    <w:rsid w:val="00A94880"/>
    <w:rsid w:val="00A95086"/>
    <w:rsid w:val="00A95323"/>
    <w:rsid w:val="00A95D7A"/>
    <w:rsid w:val="00AA386D"/>
    <w:rsid w:val="00AA4659"/>
    <w:rsid w:val="00AB3D10"/>
    <w:rsid w:val="00AB6A6B"/>
    <w:rsid w:val="00AB7D5D"/>
    <w:rsid w:val="00AD1972"/>
    <w:rsid w:val="00AE3058"/>
    <w:rsid w:val="00AE6D09"/>
    <w:rsid w:val="00AF08FC"/>
    <w:rsid w:val="00AF46DC"/>
    <w:rsid w:val="00B046E3"/>
    <w:rsid w:val="00B37938"/>
    <w:rsid w:val="00B4036A"/>
    <w:rsid w:val="00B4072C"/>
    <w:rsid w:val="00B4317E"/>
    <w:rsid w:val="00B44DD2"/>
    <w:rsid w:val="00B45CC6"/>
    <w:rsid w:val="00B503CD"/>
    <w:rsid w:val="00B511EB"/>
    <w:rsid w:val="00B52AFE"/>
    <w:rsid w:val="00B55A43"/>
    <w:rsid w:val="00B67DC8"/>
    <w:rsid w:val="00B720B7"/>
    <w:rsid w:val="00B737CE"/>
    <w:rsid w:val="00B83661"/>
    <w:rsid w:val="00B8399E"/>
    <w:rsid w:val="00B91491"/>
    <w:rsid w:val="00B91728"/>
    <w:rsid w:val="00BA73BE"/>
    <w:rsid w:val="00BB0C90"/>
    <w:rsid w:val="00BB3D3D"/>
    <w:rsid w:val="00BB3D78"/>
    <w:rsid w:val="00BB4824"/>
    <w:rsid w:val="00BB5370"/>
    <w:rsid w:val="00BC113F"/>
    <w:rsid w:val="00BC717A"/>
    <w:rsid w:val="00BF116E"/>
    <w:rsid w:val="00BF2676"/>
    <w:rsid w:val="00BF5602"/>
    <w:rsid w:val="00BF6588"/>
    <w:rsid w:val="00C0202E"/>
    <w:rsid w:val="00C0386C"/>
    <w:rsid w:val="00C04EEB"/>
    <w:rsid w:val="00C12B76"/>
    <w:rsid w:val="00C13527"/>
    <w:rsid w:val="00C151F1"/>
    <w:rsid w:val="00C15709"/>
    <w:rsid w:val="00C16B70"/>
    <w:rsid w:val="00C17696"/>
    <w:rsid w:val="00C24A43"/>
    <w:rsid w:val="00C34890"/>
    <w:rsid w:val="00C34D0F"/>
    <w:rsid w:val="00C35921"/>
    <w:rsid w:val="00C35ABB"/>
    <w:rsid w:val="00C41300"/>
    <w:rsid w:val="00C44063"/>
    <w:rsid w:val="00C4497A"/>
    <w:rsid w:val="00C47DC3"/>
    <w:rsid w:val="00C50D47"/>
    <w:rsid w:val="00C6397C"/>
    <w:rsid w:val="00C64342"/>
    <w:rsid w:val="00C64898"/>
    <w:rsid w:val="00C66239"/>
    <w:rsid w:val="00C6668D"/>
    <w:rsid w:val="00C67AF0"/>
    <w:rsid w:val="00C738EB"/>
    <w:rsid w:val="00C74ECC"/>
    <w:rsid w:val="00C8071B"/>
    <w:rsid w:val="00C80FD4"/>
    <w:rsid w:val="00C822DA"/>
    <w:rsid w:val="00C875E5"/>
    <w:rsid w:val="00C95530"/>
    <w:rsid w:val="00CA4D0C"/>
    <w:rsid w:val="00CA5D82"/>
    <w:rsid w:val="00CB05B9"/>
    <w:rsid w:val="00CB0CBF"/>
    <w:rsid w:val="00CC4AE3"/>
    <w:rsid w:val="00CC5A78"/>
    <w:rsid w:val="00CD5472"/>
    <w:rsid w:val="00CE05F3"/>
    <w:rsid w:val="00CE1B58"/>
    <w:rsid w:val="00CE34B7"/>
    <w:rsid w:val="00CF59BB"/>
    <w:rsid w:val="00D07F09"/>
    <w:rsid w:val="00D1090C"/>
    <w:rsid w:val="00D213B1"/>
    <w:rsid w:val="00D21662"/>
    <w:rsid w:val="00D2366D"/>
    <w:rsid w:val="00D26362"/>
    <w:rsid w:val="00D364C8"/>
    <w:rsid w:val="00D418DA"/>
    <w:rsid w:val="00D429F2"/>
    <w:rsid w:val="00D44BE8"/>
    <w:rsid w:val="00D45931"/>
    <w:rsid w:val="00D50F23"/>
    <w:rsid w:val="00D52538"/>
    <w:rsid w:val="00D54A60"/>
    <w:rsid w:val="00D565F5"/>
    <w:rsid w:val="00D608CA"/>
    <w:rsid w:val="00D663F4"/>
    <w:rsid w:val="00D8665E"/>
    <w:rsid w:val="00D87521"/>
    <w:rsid w:val="00D92ACC"/>
    <w:rsid w:val="00D92F9B"/>
    <w:rsid w:val="00DA1741"/>
    <w:rsid w:val="00DA3CAF"/>
    <w:rsid w:val="00DB6659"/>
    <w:rsid w:val="00DB7022"/>
    <w:rsid w:val="00DB7038"/>
    <w:rsid w:val="00DB724E"/>
    <w:rsid w:val="00DC2440"/>
    <w:rsid w:val="00DD4777"/>
    <w:rsid w:val="00DD6175"/>
    <w:rsid w:val="00DD65D6"/>
    <w:rsid w:val="00DE1FF0"/>
    <w:rsid w:val="00DE346F"/>
    <w:rsid w:val="00DE390B"/>
    <w:rsid w:val="00DE3DFB"/>
    <w:rsid w:val="00DE4FB5"/>
    <w:rsid w:val="00DE7A0C"/>
    <w:rsid w:val="00DE7C8C"/>
    <w:rsid w:val="00DF0271"/>
    <w:rsid w:val="00E01F81"/>
    <w:rsid w:val="00E028EB"/>
    <w:rsid w:val="00E02F50"/>
    <w:rsid w:val="00E04644"/>
    <w:rsid w:val="00E07748"/>
    <w:rsid w:val="00E10A82"/>
    <w:rsid w:val="00E14288"/>
    <w:rsid w:val="00E15D64"/>
    <w:rsid w:val="00E161E0"/>
    <w:rsid w:val="00E2069F"/>
    <w:rsid w:val="00E23070"/>
    <w:rsid w:val="00E23BE7"/>
    <w:rsid w:val="00E24B68"/>
    <w:rsid w:val="00E250CA"/>
    <w:rsid w:val="00E35C2E"/>
    <w:rsid w:val="00E37387"/>
    <w:rsid w:val="00E37E33"/>
    <w:rsid w:val="00E42105"/>
    <w:rsid w:val="00E4566E"/>
    <w:rsid w:val="00E5066C"/>
    <w:rsid w:val="00E51AC5"/>
    <w:rsid w:val="00E5437F"/>
    <w:rsid w:val="00E61040"/>
    <w:rsid w:val="00E6119F"/>
    <w:rsid w:val="00E614DC"/>
    <w:rsid w:val="00E628E2"/>
    <w:rsid w:val="00E63899"/>
    <w:rsid w:val="00E64942"/>
    <w:rsid w:val="00E65C10"/>
    <w:rsid w:val="00E70830"/>
    <w:rsid w:val="00E72118"/>
    <w:rsid w:val="00E8729A"/>
    <w:rsid w:val="00E9059C"/>
    <w:rsid w:val="00E90735"/>
    <w:rsid w:val="00E91FAE"/>
    <w:rsid w:val="00E92C5F"/>
    <w:rsid w:val="00E92CAC"/>
    <w:rsid w:val="00E96665"/>
    <w:rsid w:val="00EA1F4A"/>
    <w:rsid w:val="00EA3039"/>
    <w:rsid w:val="00EB216E"/>
    <w:rsid w:val="00EC385C"/>
    <w:rsid w:val="00ED0440"/>
    <w:rsid w:val="00ED0B5B"/>
    <w:rsid w:val="00ED2A67"/>
    <w:rsid w:val="00ED4CA6"/>
    <w:rsid w:val="00ED60DF"/>
    <w:rsid w:val="00EE054F"/>
    <w:rsid w:val="00EE1460"/>
    <w:rsid w:val="00EE2A97"/>
    <w:rsid w:val="00EE36BB"/>
    <w:rsid w:val="00EE3D75"/>
    <w:rsid w:val="00EE6EF0"/>
    <w:rsid w:val="00EE70CF"/>
    <w:rsid w:val="00EF102B"/>
    <w:rsid w:val="00F00B13"/>
    <w:rsid w:val="00F071E5"/>
    <w:rsid w:val="00F10543"/>
    <w:rsid w:val="00F12743"/>
    <w:rsid w:val="00F1764C"/>
    <w:rsid w:val="00F21271"/>
    <w:rsid w:val="00F324B9"/>
    <w:rsid w:val="00F34559"/>
    <w:rsid w:val="00F35D5A"/>
    <w:rsid w:val="00F368D0"/>
    <w:rsid w:val="00F41780"/>
    <w:rsid w:val="00F42254"/>
    <w:rsid w:val="00F44C3F"/>
    <w:rsid w:val="00F4787F"/>
    <w:rsid w:val="00F56061"/>
    <w:rsid w:val="00F65AED"/>
    <w:rsid w:val="00F67AF0"/>
    <w:rsid w:val="00F732C3"/>
    <w:rsid w:val="00F751C9"/>
    <w:rsid w:val="00F80D03"/>
    <w:rsid w:val="00F8321C"/>
    <w:rsid w:val="00F834E7"/>
    <w:rsid w:val="00F846E0"/>
    <w:rsid w:val="00F9216A"/>
    <w:rsid w:val="00F93BBA"/>
    <w:rsid w:val="00FA3146"/>
    <w:rsid w:val="00FA677D"/>
    <w:rsid w:val="00FB318C"/>
    <w:rsid w:val="00FB6B1F"/>
    <w:rsid w:val="00FC1605"/>
    <w:rsid w:val="00FC3658"/>
    <w:rsid w:val="00FC50FF"/>
    <w:rsid w:val="00FC6835"/>
    <w:rsid w:val="00FD2E91"/>
    <w:rsid w:val="00FD3734"/>
    <w:rsid w:val="00FD677E"/>
    <w:rsid w:val="00FD7CD1"/>
    <w:rsid w:val="00FE6585"/>
    <w:rsid w:val="00FE7FAA"/>
    <w:rsid w:val="00FF6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D6815"/>
  <w14:defaultImageDpi w14:val="330"/>
  <w15:chartTrackingRefBased/>
  <w15:docId w15:val="{225B1754-832D-43FB-840E-7BB765E3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E5F"/>
  </w:style>
  <w:style w:type="paragraph" w:styleId="Heading1">
    <w:name w:val="heading 1"/>
    <w:basedOn w:val="Normal"/>
    <w:next w:val="Normal"/>
    <w:link w:val="Heading1Char"/>
    <w:uiPriority w:val="9"/>
    <w:qFormat/>
    <w:rsid w:val="007828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7875"/>
    <w:pPr>
      <w:keepNext/>
      <w:keepLines/>
      <w:spacing w:before="40" w:after="240"/>
      <w:jc w:val="both"/>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24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28E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78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
    <w:name w:val="Grid Table 2"/>
    <w:basedOn w:val="TableNormal"/>
    <w:uiPriority w:val="47"/>
    <w:rsid w:val="007828E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ndNoteBibliographyTitle">
    <w:name w:val="EndNote Bibliography Title"/>
    <w:basedOn w:val="Normal"/>
    <w:link w:val="EndNoteBibliographyTitleChar"/>
    <w:rsid w:val="00207FE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07FE9"/>
    <w:rPr>
      <w:rFonts w:ascii="Calibri" w:hAnsi="Calibri" w:cs="Calibri"/>
      <w:noProof/>
    </w:rPr>
  </w:style>
  <w:style w:type="paragraph" w:customStyle="1" w:styleId="EndNoteBibliography">
    <w:name w:val="EndNote Bibliography"/>
    <w:basedOn w:val="Normal"/>
    <w:link w:val="EndNoteBibliographyChar"/>
    <w:rsid w:val="00207FE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207FE9"/>
    <w:rPr>
      <w:rFonts w:ascii="Calibri" w:hAnsi="Calibri" w:cs="Calibri"/>
      <w:noProof/>
    </w:rPr>
  </w:style>
  <w:style w:type="character" w:customStyle="1" w:styleId="Heading2Char">
    <w:name w:val="Heading 2 Char"/>
    <w:basedOn w:val="DefaultParagraphFont"/>
    <w:link w:val="Heading2"/>
    <w:uiPriority w:val="9"/>
    <w:rsid w:val="0056787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360BD"/>
    <w:rPr>
      <w:sz w:val="16"/>
      <w:szCs w:val="16"/>
    </w:rPr>
  </w:style>
  <w:style w:type="paragraph" w:styleId="CommentText">
    <w:name w:val="annotation text"/>
    <w:basedOn w:val="Normal"/>
    <w:link w:val="CommentTextChar"/>
    <w:uiPriority w:val="99"/>
    <w:unhideWhenUsed/>
    <w:rsid w:val="007360BD"/>
    <w:pPr>
      <w:spacing w:line="240" w:lineRule="auto"/>
    </w:pPr>
    <w:rPr>
      <w:sz w:val="20"/>
      <w:szCs w:val="20"/>
    </w:rPr>
  </w:style>
  <w:style w:type="character" w:customStyle="1" w:styleId="CommentTextChar">
    <w:name w:val="Comment Text Char"/>
    <w:basedOn w:val="DefaultParagraphFont"/>
    <w:link w:val="CommentText"/>
    <w:uiPriority w:val="99"/>
    <w:rsid w:val="007360BD"/>
    <w:rPr>
      <w:sz w:val="20"/>
      <w:szCs w:val="20"/>
    </w:rPr>
  </w:style>
  <w:style w:type="paragraph" w:styleId="CommentSubject">
    <w:name w:val="annotation subject"/>
    <w:basedOn w:val="CommentText"/>
    <w:next w:val="CommentText"/>
    <w:link w:val="CommentSubjectChar"/>
    <w:uiPriority w:val="99"/>
    <w:semiHidden/>
    <w:unhideWhenUsed/>
    <w:rsid w:val="007360BD"/>
    <w:rPr>
      <w:b/>
      <w:bCs/>
    </w:rPr>
  </w:style>
  <w:style w:type="character" w:customStyle="1" w:styleId="CommentSubjectChar">
    <w:name w:val="Comment Subject Char"/>
    <w:basedOn w:val="CommentTextChar"/>
    <w:link w:val="CommentSubject"/>
    <w:uiPriority w:val="99"/>
    <w:semiHidden/>
    <w:rsid w:val="007360BD"/>
    <w:rPr>
      <w:b/>
      <w:bCs/>
      <w:sz w:val="20"/>
      <w:szCs w:val="20"/>
    </w:rPr>
  </w:style>
  <w:style w:type="paragraph" w:styleId="BalloonText">
    <w:name w:val="Balloon Text"/>
    <w:basedOn w:val="Normal"/>
    <w:link w:val="BalloonTextChar"/>
    <w:uiPriority w:val="99"/>
    <w:semiHidden/>
    <w:unhideWhenUsed/>
    <w:rsid w:val="007360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0BD"/>
    <w:rPr>
      <w:rFonts w:ascii="Segoe UI" w:hAnsi="Segoe UI" w:cs="Segoe UI"/>
      <w:sz w:val="18"/>
      <w:szCs w:val="18"/>
    </w:rPr>
  </w:style>
  <w:style w:type="table" w:customStyle="1" w:styleId="LightGrid1">
    <w:name w:val="Light Grid1"/>
    <w:basedOn w:val="TableNormal"/>
    <w:next w:val="LightGrid"/>
    <w:uiPriority w:val="62"/>
    <w:rsid w:val="00F21271"/>
    <w:pPr>
      <w:spacing w:after="0" w:line="240" w:lineRule="auto"/>
    </w:pPr>
    <w:rPr>
      <w:lang w:val="nl-N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
    <w:name w:val="Light Grid"/>
    <w:basedOn w:val="TableNormal"/>
    <w:uiPriority w:val="62"/>
    <w:semiHidden/>
    <w:unhideWhenUsed/>
    <w:rsid w:val="00F2127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aption">
    <w:name w:val="caption"/>
    <w:basedOn w:val="Normal"/>
    <w:next w:val="Normal"/>
    <w:uiPriority w:val="35"/>
    <w:unhideWhenUsed/>
    <w:qFormat/>
    <w:rsid w:val="0095323A"/>
    <w:pPr>
      <w:spacing w:after="200" w:line="240" w:lineRule="auto"/>
    </w:pPr>
    <w:rPr>
      <w:i/>
      <w:iCs/>
      <w:color w:val="44546A" w:themeColor="text2"/>
      <w:sz w:val="18"/>
      <w:szCs w:val="18"/>
    </w:rPr>
  </w:style>
  <w:style w:type="table" w:customStyle="1" w:styleId="LightShading1">
    <w:name w:val="Light Shading1"/>
    <w:basedOn w:val="TableNormal"/>
    <w:next w:val="LightShading"/>
    <w:uiPriority w:val="60"/>
    <w:rsid w:val="000A1046"/>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semiHidden/>
    <w:unhideWhenUsed/>
    <w:rsid w:val="000A104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1D1106"/>
    <w:pPr>
      <w:spacing w:after="0" w:line="240" w:lineRule="auto"/>
    </w:pPr>
  </w:style>
  <w:style w:type="paragraph" w:styleId="NoSpacing">
    <w:name w:val="No Spacing"/>
    <w:uiPriority w:val="1"/>
    <w:qFormat/>
    <w:rsid w:val="00737EE3"/>
    <w:pPr>
      <w:spacing w:after="0" w:line="240" w:lineRule="auto"/>
    </w:pPr>
  </w:style>
  <w:style w:type="table" w:customStyle="1" w:styleId="LightShading3">
    <w:name w:val="Light Shading3"/>
    <w:basedOn w:val="TableNormal"/>
    <w:next w:val="LightShading"/>
    <w:uiPriority w:val="60"/>
    <w:rsid w:val="0041687B"/>
    <w:pPr>
      <w:spacing w:after="0" w:line="240" w:lineRule="auto"/>
    </w:pPr>
    <w:rPr>
      <w:color w:val="000000"/>
      <w:lang w:val="nl-N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0">
    <w:name w:val="TableGrid"/>
    <w:rsid w:val="00FC1605"/>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886A0C"/>
    <w:pPr>
      <w:ind w:left="720"/>
      <w:contextualSpacing/>
    </w:pPr>
  </w:style>
  <w:style w:type="paragraph" w:styleId="Header">
    <w:name w:val="header"/>
    <w:basedOn w:val="Normal"/>
    <w:link w:val="HeaderChar"/>
    <w:uiPriority w:val="99"/>
    <w:unhideWhenUsed/>
    <w:rsid w:val="0076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906"/>
  </w:style>
  <w:style w:type="paragraph" w:styleId="Footer">
    <w:name w:val="footer"/>
    <w:basedOn w:val="Normal"/>
    <w:link w:val="FooterChar"/>
    <w:uiPriority w:val="99"/>
    <w:unhideWhenUsed/>
    <w:rsid w:val="0076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906"/>
  </w:style>
  <w:style w:type="paragraph" w:styleId="NormalWeb">
    <w:name w:val="Normal (Web)"/>
    <w:basedOn w:val="Normal"/>
    <w:uiPriority w:val="99"/>
    <w:semiHidden/>
    <w:unhideWhenUsed/>
    <w:rsid w:val="00A80037"/>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Hyperlink">
    <w:name w:val="Hyperlink"/>
    <w:basedOn w:val="DefaultParagraphFont"/>
    <w:uiPriority w:val="99"/>
    <w:unhideWhenUsed/>
    <w:rsid w:val="00A576DE"/>
    <w:rPr>
      <w:color w:val="0563C1" w:themeColor="hyperlink"/>
      <w:u w:val="single"/>
    </w:rPr>
  </w:style>
  <w:style w:type="character" w:customStyle="1" w:styleId="Heading3Char">
    <w:name w:val="Heading 3 Char"/>
    <w:basedOn w:val="DefaultParagraphFont"/>
    <w:link w:val="Heading3"/>
    <w:uiPriority w:val="9"/>
    <w:rsid w:val="0092465F"/>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E91F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1FA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98602">
      <w:bodyDiv w:val="1"/>
      <w:marLeft w:val="0"/>
      <w:marRight w:val="0"/>
      <w:marTop w:val="0"/>
      <w:marBottom w:val="0"/>
      <w:divBdr>
        <w:top w:val="none" w:sz="0" w:space="0" w:color="auto"/>
        <w:left w:val="none" w:sz="0" w:space="0" w:color="auto"/>
        <w:bottom w:val="none" w:sz="0" w:space="0" w:color="auto"/>
        <w:right w:val="none" w:sz="0" w:space="0" w:color="auto"/>
      </w:divBdr>
    </w:div>
    <w:div w:id="106656011">
      <w:bodyDiv w:val="1"/>
      <w:marLeft w:val="0"/>
      <w:marRight w:val="0"/>
      <w:marTop w:val="0"/>
      <w:marBottom w:val="0"/>
      <w:divBdr>
        <w:top w:val="none" w:sz="0" w:space="0" w:color="auto"/>
        <w:left w:val="none" w:sz="0" w:space="0" w:color="auto"/>
        <w:bottom w:val="none" w:sz="0" w:space="0" w:color="auto"/>
        <w:right w:val="none" w:sz="0" w:space="0" w:color="auto"/>
      </w:divBdr>
    </w:div>
    <w:div w:id="276104610">
      <w:bodyDiv w:val="1"/>
      <w:marLeft w:val="0"/>
      <w:marRight w:val="0"/>
      <w:marTop w:val="0"/>
      <w:marBottom w:val="0"/>
      <w:divBdr>
        <w:top w:val="none" w:sz="0" w:space="0" w:color="auto"/>
        <w:left w:val="none" w:sz="0" w:space="0" w:color="auto"/>
        <w:bottom w:val="none" w:sz="0" w:space="0" w:color="auto"/>
        <w:right w:val="none" w:sz="0" w:space="0" w:color="auto"/>
      </w:divBdr>
    </w:div>
    <w:div w:id="332731837">
      <w:bodyDiv w:val="1"/>
      <w:marLeft w:val="0"/>
      <w:marRight w:val="0"/>
      <w:marTop w:val="0"/>
      <w:marBottom w:val="0"/>
      <w:divBdr>
        <w:top w:val="none" w:sz="0" w:space="0" w:color="auto"/>
        <w:left w:val="none" w:sz="0" w:space="0" w:color="auto"/>
        <w:bottom w:val="none" w:sz="0" w:space="0" w:color="auto"/>
        <w:right w:val="none" w:sz="0" w:space="0" w:color="auto"/>
      </w:divBdr>
    </w:div>
    <w:div w:id="374046110">
      <w:bodyDiv w:val="1"/>
      <w:marLeft w:val="0"/>
      <w:marRight w:val="0"/>
      <w:marTop w:val="0"/>
      <w:marBottom w:val="0"/>
      <w:divBdr>
        <w:top w:val="none" w:sz="0" w:space="0" w:color="auto"/>
        <w:left w:val="none" w:sz="0" w:space="0" w:color="auto"/>
        <w:bottom w:val="none" w:sz="0" w:space="0" w:color="auto"/>
        <w:right w:val="none" w:sz="0" w:space="0" w:color="auto"/>
      </w:divBdr>
    </w:div>
    <w:div w:id="424306344">
      <w:bodyDiv w:val="1"/>
      <w:marLeft w:val="0"/>
      <w:marRight w:val="0"/>
      <w:marTop w:val="0"/>
      <w:marBottom w:val="0"/>
      <w:divBdr>
        <w:top w:val="none" w:sz="0" w:space="0" w:color="auto"/>
        <w:left w:val="none" w:sz="0" w:space="0" w:color="auto"/>
        <w:bottom w:val="none" w:sz="0" w:space="0" w:color="auto"/>
        <w:right w:val="none" w:sz="0" w:space="0" w:color="auto"/>
      </w:divBdr>
    </w:div>
    <w:div w:id="454296569">
      <w:bodyDiv w:val="1"/>
      <w:marLeft w:val="0"/>
      <w:marRight w:val="0"/>
      <w:marTop w:val="0"/>
      <w:marBottom w:val="0"/>
      <w:divBdr>
        <w:top w:val="none" w:sz="0" w:space="0" w:color="auto"/>
        <w:left w:val="none" w:sz="0" w:space="0" w:color="auto"/>
        <w:bottom w:val="none" w:sz="0" w:space="0" w:color="auto"/>
        <w:right w:val="none" w:sz="0" w:space="0" w:color="auto"/>
      </w:divBdr>
    </w:div>
    <w:div w:id="524102813">
      <w:bodyDiv w:val="1"/>
      <w:marLeft w:val="0"/>
      <w:marRight w:val="0"/>
      <w:marTop w:val="0"/>
      <w:marBottom w:val="0"/>
      <w:divBdr>
        <w:top w:val="none" w:sz="0" w:space="0" w:color="auto"/>
        <w:left w:val="none" w:sz="0" w:space="0" w:color="auto"/>
        <w:bottom w:val="none" w:sz="0" w:space="0" w:color="auto"/>
        <w:right w:val="none" w:sz="0" w:space="0" w:color="auto"/>
      </w:divBdr>
    </w:div>
    <w:div w:id="525368459">
      <w:bodyDiv w:val="1"/>
      <w:marLeft w:val="0"/>
      <w:marRight w:val="0"/>
      <w:marTop w:val="0"/>
      <w:marBottom w:val="0"/>
      <w:divBdr>
        <w:top w:val="none" w:sz="0" w:space="0" w:color="auto"/>
        <w:left w:val="none" w:sz="0" w:space="0" w:color="auto"/>
        <w:bottom w:val="none" w:sz="0" w:space="0" w:color="auto"/>
        <w:right w:val="none" w:sz="0" w:space="0" w:color="auto"/>
      </w:divBdr>
    </w:div>
    <w:div w:id="548612549">
      <w:bodyDiv w:val="1"/>
      <w:marLeft w:val="0"/>
      <w:marRight w:val="0"/>
      <w:marTop w:val="0"/>
      <w:marBottom w:val="0"/>
      <w:divBdr>
        <w:top w:val="none" w:sz="0" w:space="0" w:color="auto"/>
        <w:left w:val="none" w:sz="0" w:space="0" w:color="auto"/>
        <w:bottom w:val="none" w:sz="0" w:space="0" w:color="auto"/>
        <w:right w:val="none" w:sz="0" w:space="0" w:color="auto"/>
      </w:divBdr>
    </w:div>
    <w:div w:id="596522470">
      <w:bodyDiv w:val="1"/>
      <w:marLeft w:val="0"/>
      <w:marRight w:val="0"/>
      <w:marTop w:val="0"/>
      <w:marBottom w:val="0"/>
      <w:divBdr>
        <w:top w:val="none" w:sz="0" w:space="0" w:color="auto"/>
        <w:left w:val="none" w:sz="0" w:space="0" w:color="auto"/>
        <w:bottom w:val="none" w:sz="0" w:space="0" w:color="auto"/>
        <w:right w:val="none" w:sz="0" w:space="0" w:color="auto"/>
      </w:divBdr>
    </w:div>
    <w:div w:id="658578991">
      <w:bodyDiv w:val="1"/>
      <w:marLeft w:val="0"/>
      <w:marRight w:val="0"/>
      <w:marTop w:val="0"/>
      <w:marBottom w:val="0"/>
      <w:divBdr>
        <w:top w:val="none" w:sz="0" w:space="0" w:color="auto"/>
        <w:left w:val="none" w:sz="0" w:space="0" w:color="auto"/>
        <w:bottom w:val="none" w:sz="0" w:space="0" w:color="auto"/>
        <w:right w:val="none" w:sz="0" w:space="0" w:color="auto"/>
      </w:divBdr>
    </w:div>
    <w:div w:id="679357527">
      <w:bodyDiv w:val="1"/>
      <w:marLeft w:val="0"/>
      <w:marRight w:val="0"/>
      <w:marTop w:val="0"/>
      <w:marBottom w:val="0"/>
      <w:divBdr>
        <w:top w:val="none" w:sz="0" w:space="0" w:color="auto"/>
        <w:left w:val="none" w:sz="0" w:space="0" w:color="auto"/>
        <w:bottom w:val="none" w:sz="0" w:space="0" w:color="auto"/>
        <w:right w:val="none" w:sz="0" w:space="0" w:color="auto"/>
      </w:divBdr>
    </w:div>
    <w:div w:id="707871584">
      <w:bodyDiv w:val="1"/>
      <w:marLeft w:val="0"/>
      <w:marRight w:val="0"/>
      <w:marTop w:val="0"/>
      <w:marBottom w:val="0"/>
      <w:divBdr>
        <w:top w:val="none" w:sz="0" w:space="0" w:color="auto"/>
        <w:left w:val="none" w:sz="0" w:space="0" w:color="auto"/>
        <w:bottom w:val="none" w:sz="0" w:space="0" w:color="auto"/>
        <w:right w:val="none" w:sz="0" w:space="0" w:color="auto"/>
      </w:divBdr>
    </w:div>
    <w:div w:id="796220653">
      <w:bodyDiv w:val="1"/>
      <w:marLeft w:val="0"/>
      <w:marRight w:val="0"/>
      <w:marTop w:val="0"/>
      <w:marBottom w:val="0"/>
      <w:divBdr>
        <w:top w:val="none" w:sz="0" w:space="0" w:color="auto"/>
        <w:left w:val="none" w:sz="0" w:space="0" w:color="auto"/>
        <w:bottom w:val="none" w:sz="0" w:space="0" w:color="auto"/>
        <w:right w:val="none" w:sz="0" w:space="0" w:color="auto"/>
      </w:divBdr>
    </w:div>
    <w:div w:id="798911526">
      <w:bodyDiv w:val="1"/>
      <w:marLeft w:val="0"/>
      <w:marRight w:val="0"/>
      <w:marTop w:val="0"/>
      <w:marBottom w:val="0"/>
      <w:divBdr>
        <w:top w:val="none" w:sz="0" w:space="0" w:color="auto"/>
        <w:left w:val="none" w:sz="0" w:space="0" w:color="auto"/>
        <w:bottom w:val="none" w:sz="0" w:space="0" w:color="auto"/>
        <w:right w:val="none" w:sz="0" w:space="0" w:color="auto"/>
      </w:divBdr>
    </w:div>
    <w:div w:id="808522810">
      <w:bodyDiv w:val="1"/>
      <w:marLeft w:val="0"/>
      <w:marRight w:val="0"/>
      <w:marTop w:val="0"/>
      <w:marBottom w:val="0"/>
      <w:divBdr>
        <w:top w:val="none" w:sz="0" w:space="0" w:color="auto"/>
        <w:left w:val="none" w:sz="0" w:space="0" w:color="auto"/>
        <w:bottom w:val="none" w:sz="0" w:space="0" w:color="auto"/>
        <w:right w:val="none" w:sz="0" w:space="0" w:color="auto"/>
      </w:divBdr>
    </w:div>
    <w:div w:id="836648784">
      <w:bodyDiv w:val="1"/>
      <w:marLeft w:val="0"/>
      <w:marRight w:val="0"/>
      <w:marTop w:val="0"/>
      <w:marBottom w:val="0"/>
      <w:divBdr>
        <w:top w:val="none" w:sz="0" w:space="0" w:color="auto"/>
        <w:left w:val="none" w:sz="0" w:space="0" w:color="auto"/>
        <w:bottom w:val="none" w:sz="0" w:space="0" w:color="auto"/>
        <w:right w:val="none" w:sz="0" w:space="0" w:color="auto"/>
      </w:divBdr>
    </w:div>
    <w:div w:id="844127373">
      <w:bodyDiv w:val="1"/>
      <w:marLeft w:val="0"/>
      <w:marRight w:val="0"/>
      <w:marTop w:val="0"/>
      <w:marBottom w:val="0"/>
      <w:divBdr>
        <w:top w:val="none" w:sz="0" w:space="0" w:color="auto"/>
        <w:left w:val="none" w:sz="0" w:space="0" w:color="auto"/>
        <w:bottom w:val="none" w:sz="0" w:space="0" w:color="auto"/>
        <w:right w:val="none" w:sz="0" w:space="0" w:color="auto"/>
      </w:divBdr>
    </w:div>
    <w:div w:id="913245869">
      <w:bodyDiv w:val="1"/>
      <w:marLeft w:val="0"/>
      <w:marRight w:val="0"/>
      <w:marTop w:val="0"/>
      <w:marBottom w:val="0"/>
      <w:divBdr>
        <w:top w:val="none" w:sz="0" w:space="0" w:color="auto"/>
        <w:left w:val="none" w:sz="0" w:space="0" w:color="auto"/>
        <w:bottom w:val="none" w:sz="0" w:space="0" w:color="auto"/>
        <w:right w:val="none" w:sz="0" w:space="0" w:color="auto"/>
      </w:divBdr>
    </w:div>
    <w:div w:id="928588026">
      <w:bodyDiv w:val="1"/>
      <w:marLeft w:val="0"/>
      <w:marRight w:val="0"/>
      <w:marTop w:val="0"/>
      <w:marBottom w:val="0"/>
      <w:divBdr>
        <w:top w:val="none" w:sz="0" w:space="0" w:color="auto"/>
        <w:left w:val="none" w:sz="0" w:space="0" w:color="auto"/>
        <w:bottom w:val="none" w:sz="0" w:space="0" w:color="auto"/>
        <w:right w:val="none" w:sz="0" w:space="0" w:color="auto"/>
      </w:divBdr>
    </w:div>
    <w:div w:id="937299511">
      <w:bodyDiv w:val="1"/>
      <w:marLeft w:val="0"/>
      <w:marRight w:val="0"/>
      <w:marTop w:val="0"/>
      <w:marBottom w:val="0"/>
      <w:divBdr>
        <w:top w:val="none" w:sz="0" w:space="0" w:color="auto"/>
        <w:left w:val="none" w:sz="0" w:space="0" w:color="auto"/>
        <w:bottom w:val="none" w:sz="0" w:space="0" w:color="auto"/>
        <w:right w:val="none" w:sz="0" w:space="0" w:color="auto"/>
      </w:divBdr>
    </w:div>
    <w:div w:id="948316302">
      <w:bodyDiv w:val="1"/>
      <w:marLeft w:val="0"/>
      <w:marRight w:val="0"/>
      <w:marTop w:val="0"/>
      <w:marBottom w:val="0"/>
      <w:divBdr>
        <w:top w:val="none" w:sz="0" w:space="0" w:color="auto"/>
        <w:left w:val="none" w:sz="0" w:space="0" w:color="auto"/>
        <w:bottom w:val="none" w:sz="0" w:space="0" w:color="auto"/>
        <w:right w:val="none" w:sz="0" w:space="0" w:color="auto"/>
      </w:divBdr>
    </w:div>
    <w:div w:id="1075711399">
      <w:bodyDiv w:val="1"/>
      <w:marLeft w:val="0"/>
      <w:marRight w:val="0"/>
      <w:marTop w:val="0"/>
      <w:marBottom w:val="0"/>
      <w:divBdr>
        <w:top w:val="none" w:sz="0" w:space="0" w:color="auto"/>
        <w:left w:val="none" w:sz="0" w:space="0" w:color="auto"/>
        <w:bottom w:val="none" w:sz="0" w:space="0" w:color="auto"/>
        <w:right w:val="none" w:sz="0" w:space="0" w:color="auto"/>
      </w:divBdr>
    </w:div>
    <w:div w:id="1079253037">
      <w:bodyDiv w:val="1"/>
      <w:marLeft w:val="0"/>
      <w:marRight w:val="0"/>
      <w:marTop w:val="0"/>
      <w:marBottom w:val="0"/>
      <w:divBdr>
        <w:top w:val="none" w:sz="0" w:space="0" w:color="auto"/>
        <w:left w:val="none" w:sz="0" w:space="0" w:color="auto"/>
        <w:bottom w:val="none" w:sz="0" w:space="0" w:color="auto"/>
        <w:right w:val="none" w:sz="0" w:space="0" w:color="auto"/>
      </w:divBdr>
    </w:div>
    <w:div w:id="1132988531">
      <w:bodyDiv w:val="1"/>
      <w:marLeft w:val="0"/>
      <w:marRight w:val="0"/>
      <w:marTop w:val="0"/>
      <w:marBottom w:val="0"/>
      <w:divBdr>
        <w:top w:val="none" w:sz="0" w:space="0" w:color="auto"/>
        <w:left w:val="none" w:sz="0" w:space="0" w:color="auto"/>
        <w:bottom w:val="none" w:sz="0" w:space="0" w:color="auto"/>
        <w:right w:val="none" w:sz="0" w:space="0" w:color="auto"/>
      </w:divBdr>
    </w:div>
    <w:div w:id="1160805034">
      <w:bodyDiv w:val="1"/>
      <w:marLeft w:val="0"/>
      <w:marRight w:val="0"/>
      <w:marTop w:val="0"/>
      <w:marBottom w:val="0"/>
      <w:divBdr>
        <w:top w:val="none" w:sz="0" w:space="0" w:color="auto"/>
        <w:left w:val="none" w:sz="0" w:space="0" w:color="auto"/>
        <w:bottom w:val="none" w:sz="0" w:space="0" w:color="auto"/>
        <w:right w:val="none" w:sz="0" w:space="0" w:color="auto"/>
      </w:divBdr>
    </w:div>
    <w:div w:id="1227451005">
      <w:bodyDiv w:val="1"/>
      <w:marLeft w:val="0"/>
      <w:marRight w:val="0"/>
      <w:marTop w:val="0"/>
      <w:marBottom w:val="0"/>
      <w:divBdr>
        <w:top w:val="none" w:sz="0" w:space="0" w:color="auto"/>
        <w:left w:val="none" w:sz="0" w:space="0" w:color="auto"/>
        <w:bottom w:val="none" w:sz="0" w:space="0" w:color="auto"/>
        <w:right w:val="none" w:sz="0" w:space="0" w:color="auto"/>
      </w:divBdr>
    </w:div>
    <w:div w:id="1248538969">
      <w:bodyDiv w:val="1"/>
      <w:marLeft w:val="0"/>
      <w:marRight w:val="0"/>
      <w:marTop w:val="0"/>
      <w:marBottom w:val="0"/>
      <w:divBdr>
        <w:top w:val="none" w:sz="0" w:space="0" w:color="auto"/>
        <w:left w:val="none" w:sz="0" w:space="0" w:color="auto"/>
        <w:bottom w:val="none" w:sz="0" w:space="0" w:color="auto"/>
        <w:right w:val="none" w:sz="0" w:space="0" w:color="auto"/>
      </w:divBdr>
    </w:div>
    <w:div w:id="1339773753">
      <w:bodyDiv w:val="1"/>
      <w:marLeft w:val="0"/>
      <w:marRight w:val="0"/>
      <w:marTop w:val="0"/>
      <w:marBottom w:val="0"/>
      <w:divBdr>
        <w:top w:val="none" w:sz="0" w:space="0" w:color="auto"/>
        <w:left w:val="none" w:sz="0" w:space="0" w:color="auto"/>
        <w:bottom w:val="none" w:sz="0" w:space="0" w:color="auto"/>
        <w:right w:val="none" w:sz="0" w:space="0" w:color="auto"/>
      </w:divBdr>
    </w:div>
    <w:div w:id="1346588033">
      <w:bodyDiv w:val="1"/>
      <w:marLeft w:val="0"/>
      <w:marRight w:val="0"/>
      <w:marTop w:val="0"/>
      <w:marBottom w:val="0"/>
      <w:divBdr>
        <w:top w:val="none" w:sz="0" w:space="0" w:color="auto"/>
        <w:left w:val="none" w:sz="0" w:space="0" w:color="auto"/>
        <w:bottom w:val="none" w:sz="0" w:space="0" w:color="auto"/>
        <w:right w:val="none" w:sz="0" w:space="0" w:color="auto"/>
      </w:divBdr>
    </w:div>
    <w:div w:id="1370760472">
      <w:bodyDiv w:val="1"/>
      <w:marLeft w:val="0"/>
      <w:marRight w:val="0"/>
      <w:marTop w:val="0"/>
      <w:marBottom w:val="0"/>
      <w:divBdr>
        <w:top w:val="none" w:sz="0" w:space="0" w:color="auto"/>
        <w:left w:val="none" w:sz="0" w:space="0" w:color="auto"/>
        <w:bottom w:val="none" w:sz="0" w:space="0" w:color="auto"/>
        <w:right w:val="none" w:sz="0" w:space="0" w:color="auto"/>
      </w:divBdr>
    </w:div>
    <w:div w:id="1418671686">
      <w:bodyDiv w:val="1"/>
      <w:marLeft w:val="0"/>
      <w:marRight w:val="0"/>
      <w:marTop w:val="0"/>
      <w:marBottom w:val="0"/>
      <w:divBdr>
        <w:top w:val="none" w:sz="0" w:space="0" w:color="auto"/>
        <w:left w:val="none" w:sz="0" w:space="0" w:color="auto"/>
        <w:bottom w:val="none" w:sz="0" w:space="0" w:color="auto"/>
        <w:right w:val="none" w:sz="0" w:space="0" w:color="auto"/>
      </w:divBdr>
    </w:div>
    <w:div w:id="1450657961">
      <w:bodyDiv w:val="1"/>
      <w:marLeft w:val="0"/>
      <w:marRight w:val="0"/>
      <w:marTop w:val="0"/>
      <w:marBottom w:val="0"/>
      <w:divBdr>
        <w:top w:val="none" w:sz="0" w:space="0" w:color="auto"/>
        <w:left w:val="none" w:sz="0" w:space="0" w:color="auto"/>
        <w:bottom w:val="none" w:sz="0" w:space="0" w:color="auto"/>
        <w:right w:val="none" w:sz="0" w:space="0" w:color="auto"/>
      </w:divBdr>
    </w:div>
    <w:div w:id="1551107351">
      <w:bodyDiv w:val="1"/>
      <w:marLeft w:val="0"/>
      <w:marRight w:val="0"/>
      <w:marTop w:val="0"/>
      <w:marBottom w:val="0"/>
      <w:divBdr>
        <w:top w:val="none" w:sz="0" w:space="0" w:color="auto"/>
        <w:left w:val="none" w:sz="0" w:space="0" w:color="auto"/>
        <w:bottom w:val="none" w:sz="0" w:space="0" w:color="auto"/>
        <w:right w:val="none" w:sz="0" w:space="0" w:color="auto"/>
      </w:divBdr>
    </w:div>
    <w:div w:id="1586769539">
      <w:bodyDiv w:val="1"/>
      <w:marLeft w:val="0"/>
      <w:marRight w:val="0"/>
      <w:marTop w:val="0"/>
      <w:marBottom w:val="0"/>
      <w:divBdr>
        <w:top w:val="none" w:sz="0" w:space="0" w:color="auto"/>
        <w:left w:val="none" w:sz="0" w:space="0" w:color="auto"/>
        <w:bottom w:val="none" w:sz="0" w:space="0" w:color="auto"/>
        <w:right w:val="none" w:sz="0" w:space="0" w:color="auto"/>
      </w:divBdr>
    </w:div>
    <w:div w:id="1635912986">
      <w:bodyDiv w:val="1"/>
      <w:marLeft w:val="0"/>
      <w:marRight w:val="0"/>
      <w:marTop w:val="0"/>
      <w:marBottom w:val="0"/>
      <w:divBdr>
        <w:top w:val="none" w:sz="0" w:space="0" w:color="auto"/>
        <w:left w:val="none" w:sz="0" w:space="0" w:color="auto"/>
        <w:bottom w:val="none" w:sz="0" w:space="0" w:color="auto"/>
        <w:right w:val="none" w:sz="0" w:space="0" w:color="auto"/>
      </w:divBdr>
    </w:div>
    <w:div w:id="1640644801">
      <w:bodyDiv w:val="1"/>
      <w:marLeft w:val="0"/>
      <w:marRight w:val="0"/>
      <w:marTop w:val="0"/>
      <w:marBottom w:val="0"/>
      <w:divBdr>
        <w:top w:val="none" w:sz="0" w:space="0" w:color="auto"/>
        <w:left w:val="none" w:sz="0" w:space="0" w:color="auto"/>
        <w:bottom w:val="none" w:sz="0" w:space="0" w:color="auto"/>
        <w:right w:val="none" w:sz="0" w:space="0" w:color="auto"/>
      </w:divBdr>
    </w:div>
    <w:div w:id="1670517232">
      <w:bodyDiv w:val="1"/>
      <w:marLeft w:val="0"/>
      <w:marRight w:val="0"/>
      <w:marTop w:val="0"/>
      <w:marBottom w:val="0"/>
      <w:divBdr>
        <w:top w:val="none" w:sz="0" w:space="0" w:color="auto"/>
        <w:left w:val="none" w:sz="0" w:space="0" w:color="auto"/>
        <w:bottom w:val="none" w:sz="0" w:space="0" w:color="auto"/>
        <w:right w:val="none" w:sz="0" w:space="0" w:color="auto"/>
      </w:divBdr>
    </w:div>
    <w:div w:id="1671978856">
      <w:bodyDiv w:val="1"/>
      <w:marLeft w:val="0"/>
      <w:marRight w:val="0"/>
      <w:marTop w:val="0"/>
      <w:marBottom w:val="0"/>
      <w:divBdr>
        <w:top w:val="none" w:sz="0" w:space="0" w:color="auto"/>
        <w:left w:val="none" w:sz="0" w:space="0" w:color="auto"/>
        <w:bottom w:val="none" w:sz="0" w:space="0" w:color="auto"/>
        <w:right w:val="none" w:sz="0" w:space="0" w:color="auto"/>
      </w:divBdr>
    </w:div>
    <w:div w:id="1709404111">
      <w:bodyDiv w:val="1"/>
      <w:marLeft w:val="0"/>
      <w:marRight w:val="0"/>
      <w:marTop w:val="0"/>
      <w:marBottom w:val="0"/>
      <w:divBdr>
        <w:top w:val="none" w:sz="0" w:space="0" w:color="auto"/>
        <w:left w:val="none" w:sz="0" w:space="0" w:color="auto"/>
        <w:bottom w:val="none" w:sz="0" w:space="0" w:color="auto"/>
        <w:right w:val="none" w:sz="0" w:space="0" w:color="auto"/>
      </w:divBdr>
    </w:div>
    <w:div w:id="1713578691">
      <w:bodyDiv w:val="1"/>
      <w:marLeft w:val="0"/>
      <w:marRight w:val="0"/>
      <w:marTop w:val="0"/>
      <w:marBottom w:val="0"/>
      <w:divBdr>
        <w:top w:val="none" w:sz="0" w:space="0" w:color="auto"/>
        <w:left w:val="none" w:sz="0" w:space="0" w:color="auto"/>
        <w:bottom w:val="none" w:sz="0" w:space="0" w:color="auto"/>
        <w:right w:val="none" w:sz="0" w:space="0" w:color="auto"/>
      </w:divBdr>
    </w:div>
    <w:div w:id="1771050016">
      <w:bodyDiv w:val="1"/>
      <w:marLeft w:val="0"/>
      <w:marRight w:val="0"/>
      <w:marTop w:val="0"/>
      <w:marBottom w:val="0"/>
      <w:divBdr>
        <w:top w:val="none" w:sz="0" w:space="0" w:color="auto"/>
        <w:left w:val="none" w:sz="0" w:space="0" w:color="auto"/>
        <w:bottom w:val="none" w:sz="0" w:space="0" w:color="auto"/>
        <w:right w:val="none" w:sz="0" w:space="0" w:color="auto"/>
      </w:divBdr>
    </w:div>
    <w:div w:id="1776050125">
      <w:bodyDiv w:val="1"/>
      <w:marLeft w:val="0"/>
      <w:marRight w:val="0"/>
      <w:marTop w:val="0"/>
      <w:marBottom w:val="0"/>
      <w:divBdr>
        <w:top w:val="none" w:sz="0" w:space="0" w:color="auto"/>
        <w:left w:val="none" w:sz="0" w:space="0" w:color="auto"/>
        <w:bottom w:val="none" w:sz="0" w:space="0" w:color="auto"/>
        <w:right w:val="none" w:sz="0" w:space="0" w:color="auto"/>
      </w:divBdr>
    </w:div>
    <w:div w:id="1793402689">
      <w:bodyDiv w:val="1"/>
      <w:marLeft w:val="0"/>
      <w:marRight w:val="0"/>
      <w:marTop w:val="0"/>
      <w:marBottom w:val="0"/>
      <w:divBdr>
        <w:top w:val="none" w:sz="0" w:space="0" w:color="auto"/>
        <w:left w:val="none" w:sz="0" w:space="0" w:color="auto"/>
        <w:bottom w:val="none" w:sz="0" w:space="0" w:color="auto"/>
        <w:right w:val="none" w:sz="0" w:space="0" w:color="auto"/>
      </w:divBdr>
    </w:div>
    <w:div w:id="1877305542">
      <w:bodyDiv w:val="1"/>
      <w:marLeft w:val="0"/>
      <w:marRight w:val="0"/>
      <w:marTop w:val="0"/>
      <w:marBottom w:val="0"/>
      <w:divBdr>
        <w:top w:val="none" w:sz="0" w:space="0" w:color="auto"/>
        <w:left w:val="none" w:sz="0" w:space="0" w:color="auto"/>
        <w:bottom w:val="none" w:sz="0" w:space="0" w:color="auto"/>
        <w:right w:val="none" w:sz="0" w:space="0" w:color="auto"/>
      </w:divBdr>
    </w:div>
    <w:div w:id="1882672298">
      <w:bodyDiv w:val="1"/>
      <w:marLeft w:val="0"/>
      <w:marRight w:val="0"/>
      <w:marTop w:val="0"/>
      <w:marBottom w:val="0"/>
      <w:divBdr>
        <w:top w:val="none" w:sz="0" w:space="0" w:color="auto"/>
        <w:left w:val="none" w:sz="0" w:space="0" w:color="auto"/>
        <w:bottom w:val="none" w:sz="0" w:space="0" w:color="auto"/>
        <w:right w:val="none" w:sz="0" w:space="0" w:color="auto"/>
      </w:divBdr>
    </w:div>
    <w:div w:id="1887331439">
      <w:bodyDiv w:val="1"/>
      <w:marLeft w:val="0"/>
      <w:marRight w:val="0"/>
      <w:marTop w:val="0"/>
      <w:marBottom w:val="0"/>
      <w:divBdr>
        <w:top w:val="none" w:sz="0" w:space="0" w:color="auto"/>
        <w:left w:val="none" w:sz="0" w:space="0" w:color="auto"/>
        <w:bottom w:val="none" w:sz="0" w:space="0" w:color="auto"/>
        <w:right w:val="none" w:sz="0" w:space="0" w:color="auto"/>
      </w:divBdr>
    </w:div>
    <w:div w:id="1914394129">
      <w:bodyDiv w:val="1"/>
      <w:marLeft w:val="0"/>
      <w:marRight w:val="0"/>
      <w:marTop w:val="0"/>
      <w:marBottom w:val="0"/>
      <w:divBdr>
        <w:top w:val="none" w:sz="0" w:space="0" w:color="auto"/>
        <w:left w:val="none" w:sz="0" w:space="0" w:color="auto"/>
        <w:bottom w:val="none" w:sz="0" w:space="0" w:color="auto"/>
        <w:right w:val="none" w:sz="0" w:space="0" w:color="auto"/>
      </w:divBdr>
    </w:div>
    <w:div w:id="1922135045">
      <w:bodyDiv w:val="1"/>
      <w:marLeft w:val="0"/>
      <w:marRight w:val="0"/>
      <w:marTop w:val="0"/>
      <w:marBottom w:val="0"/>
      <w:divBdr>
        <w:top w:val="none" w:sz="0" w:space="0" w:color="auto"/>
        <w:left w:val="none" w:sz="0" w:space="0" w:color="auto"/>
        <w:bottom w:val="none" w:sz="0" w:space="0" w:color="auto"/>
        <w:right w:val="none" w:sz="0" w:space="0" w:color="auto"/>
      </w:divBdr>
    </w:div>
    <w:div w:id="1950358393">
      <w:bodyDiv w:val="1"/>
      <w:marLeft w:val="0"/>
      <w:marRight w:val="0"/>
      <w:marTop w:val="0"/>
      <w:marBottom w:val="0"/>
      <w:divBdr>
        <w:top w:val="none" w:sz="0" w:space="0" w:color="auto"/>
        <w:left w:val="none" w:sz="0" w:space="0" w:color="auto"/>
        <w:bottom w:val="none" w:sz="0" w:space="0" w:color="auto"/>
        <w:right w:val="none" w:sz="0" w:space="0" w:color="auto"/>
      </w:divBdr>
    </w:div>
    <w:div w:id="2008439837">
      <w:bodyDiv w:val="1"/>
      <w:marLeft w:val="0"/>
      <w:marRight w:val="0"/>
      <w:marTop w:val="0"/>
      <w:marBottom w:val="0"/>
      <w:divBdr>
        <w:top w:val="none" w:sz="0" w:space="0" w:color="auto"/>
        <w:left w:val="none" w:sz="0" w:space="0" w:color="auto"/>
        <w:bottom w:val="none" w:sz="0" w:space="0" w:color="auto"/>
        <w:right w:val="none" w:sz="0" w:space="0" w:color="auto"/>
      </w:divBdr>
    </w:div>
    <w:div w:id="2027172699">
      <w:bodyDiv w:val="1"/>
      <w:marLeft w:val="0"/>
      <w:marRight w:val="0"/>
      <w:marTop w:val="0"/>
      <w:marBottom w:val="0"/>
      <w:divBdr>
        <w:top w:val="none" w:sz="0" w:space="0" w:color="auto"/>
        <w:left w:val="none" w:sz="0" w:space="0" w:color="auto"/>
        <w:bottom w:val="none" w:sz="0" w:space="0" w:color="auto"/>
        <w:right w:val="none" w:sz="0" w:space="0" w:color="auto"/>
      </w:divBdr>
    </w:div>
    <w:div w:id="21364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42" Type="http://schemas.microsoft.com/office/2016/09/relationships/commentsIds" Target="commentsIds.xml"/><Relationship Id="rId3" Type="http://schemas.openxmlformats.org/officeDocument/2006/relationships/styles" Target="styles.xml"/><Relationship Id="rId14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695FB-31D9-4955-AB68-83F10DF4F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3096</Words>
  <Characters>17030</Characters>
  <Application>Microsoft Office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Jasmijn Hassing - TNW</dc:creator>
  <cp:keywords/>
  <dc:description/>
  <cp:lastModifiedBy>Jean Marc Daran - TNW</cp:lastModifiedBy>
  <cp:revision>2</cp:revision>
  <cp:lastPrinted>2020-11-23T10:58:00Z</cp:lastPrinted>
  <dcterms:created xsi:type="dcterms:W3CDTF">2021-11-22T16:24:00Z</dcterms:created>
  <dcterms:modified xsi:type="dcterms:W3CDTF">2021-11-22T16:24:00Z</dcterms:modified>
</cp:coreProperties>
</file>